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D9" w:rsidRPr="00656AD9" w:rsidRDefault="00656AD9" w:rsidP="00656AD9">
      <w:pPr>
        <w:spacing w:before="0" w:after="160" w:line="259" w:lineRule="auto"/>
        <w:jc w:val="both"/>
        <w:rPr>
          <w:rFonts w:ascii="Calibri" w:eastAsia="Calibri" w:hAnsi="Calibri" w:cs="Arial"/>
          <w:sz w:val="22"/>
          <w:szCs w:val="22"/>
        </w:rPr>
      </w:pPr>
    </w:p>
    <w:p w:rsidR="00656AD9" w:rsidRPr="00656AD9" w:rsidRDefault="00656AD9" w:rsidP="00656AD9">
      <w:pPr>
        <w:tabs>
          <w:tab w:val="left" w:pos="3510"/>
        </w:tabs>
        <w:spacing w:before="0" w:after="160" w:line="259" w:lineRule="auto"/>
        <w:jc w:val="both"/>
        <w:rPr>
          <w:rFonts w:ascii="Calibri" w:eastAsia="Calibri" w:hAnsi="Calibri" w:cs="Arial"/>
          <w:sz w:val="22"/>
          <w:szCs w:val="22"/>
        </w:rPr>
      </w:pPr>
      <w:r w:rsidRPr="00656AD9">
        <w:rPr>
          <w:rFonts w:ascii="Calibri" w:eastAsia="Calibri" w:hAnsi="Calibri" w:cs="Arial"/>
          <w:sz w:val="22"/>
          <w:szCs w:val="22"/>
        </w:rPr>
        <w:t xml:space="preserve">      </w:t>
      </w:r>
      <w:r w:rsidR="00AC4265" w:rsidRPr="00AC4265">
        <w:rPr>
          <w:rFonts w:ascii="Calibri" w:eastAsia="Calibri" w:hAnsi="Calibri" w:cs="Arial"/>
          <w:noProof/>
          <w:sz w:val="22"/>
          <w:szCs w:val="22"/>
          <w:lang w:eastAsia="en-GB"/>
        </w:rPr>
        <w:drawing>
          <wp:inline distT="0" distB="0" distL="0" distR="0">
            <wp:extent cx="1201297" cy="1038225"/>
            <wp:effectExtent l="19050" t="0" r="0" b="0"/>
            <wp:docPr id="4" name="Picture 1" descr="nortonc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oncanes"/>
                    <pic:cNvPicPr>
                      <a:picLocks noChangeAspect="1" noChangeArrowheads="1"/>
                    </pic:cNvPicPr>
                  </pic:nvPicPr>
                  <pic:blipFill>
                    <a:blip r:embed="rId8" r:link="rId9" cstate="print"/>
                    <a:srcRect/>
                    <a:stretch>
                      <a:fillRect/>
                    </a:stretch>
                  </pic:blipFill>
                  <pic:spPr bwMode="auto">
                    <a:xfrm>
                      <a:off x="0" y="0"/>
                      <a:ext cx="1201297" cy="1038225"/>
                    </a:xfrm>
                    <a:prstGeom prst="rect">
                      <a:avLst/>
                    </a:prstGeom>
                    <a:noFill/>
                    <a:ln w="9525">
                      <a:noFill/>
                      <a:miter lim="800000"/>
                      <a:headEnd/>
                      <a:tailEnd/>
                    </a:ln>
                  </pic:spPr>
                </pic:pic>
              </a:graphicData>
            </a:graphic>
          </wp:inline>
        </w:drawing>
      </w:r>
      <w:r w:rsidRPr="00656AD9">
        <w:rPr>
          <w:rFonts w:ascii="Calibri" w:eastAsia="Calibri" w:hAnsi="Calibri" w:cs="Arial"/>
          <w:sz w:val="22"/>
          <w:szCs w:val="22"/>
        </w:rPr>
        <w:t xml:space="preserve">                                    </w:t>
      </w:r>
      <w:r w:rsidR="00AC4265">
        <w:rPr>
          <w:rFonts w:ascii="Calibri" w:eastAsia="Calibri" w:hAnsi="Calibri" w:cs="Arial"/>
          <w:sz w:val="22"/>
          <w:szCs w:val="22"/>
        </w:rPr>
        <w:t xml:space="preserve">                       </w:t>
      </w:r>
      <w:r w:rsidRPr="00656AD9">
        <w:rPr>
          <w:rFonts w:ascii="Calibri" w:eastAsia="Calibri" w:hAnsi="Calibri" w:cs="Arial"/>
          <w:sz w:val="22"/>
          <w:szCs w:val="22"/>
        </w:rPr>
        <w:t xml:space="preserve">      </w:t>
      </w:r>
      <w:r w:rsidRPr="00656AD9">
        <w:rPr>
          <w:rFonts w:ascii="Calibri" w:eastAsia="Calibri" w:hAnsi="Calibri" w:cs="Arial"/>
          <w:noProof/>
          <w:sz w:val="22"/>
          <w:szCs w:val="22"/>
          <w:lang w:eastAsia="en-GB"/>
        </w:rPr>
        <w:drawing>
          <wp:inline distT="0" distB="0" distL="0" distR="0">
            <wp:extent cx="1781175" cy="1152525"/>
            <wp:effectExtent l="0" t="0" r="9525" b="9525"/>
            <wp:docPr id="5"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5493" cy="1155319"/>
                    </a:xfrm>
                    <a:prstGeom prst="rect">
                      <a:avLst/>
                    </a:prstGeom>
                  </pic:spPr>
                </pic:pic>
              </a:graphicData>
            </a:graphic>
          </wp:inline>
        </w:drawing>
      </w:r>
    </w:p>
    <w:p w:rsidR="00656AD9" w:rsidRPr="00656AD9" w:rsidRDefault="00656AD9" w:rsidP="00656AD9">
      <w:pPr>
        <w:spacing w:before="0" w:after="160" w:line="259" w:lineRule="auto"/>
        <w:jc w:val="both"/>
        <w:rPr>
          <w:rFonts w:ascii="Calibri" w:eastAsia="Calibri" w:hAnsi="Calibri" w:cs="Arial"/>
          <w:sz w:val="22"/>
          <w:szCs w:val="22"/>
        </w:rPr>
      </w:pPr>
    </w:p>
    <w:p w:rsidR="00656AD9" w:rsidRPr="00656AD9" w:rsidRDefault="00656AD9" w:rsidP="00656AD9">
      <w:pPr>
        <w:spacing w:before="0" w:after="160" w:line="259" w:lineRule="auto"/>
        <w:jc w:val="both"/>
        <w:rPr>
          <w:rFonts w:ascii="Calibri" w:eastAsia="Calibri" w:hAnsi="Calibri" w:cs="Arial"/>
          <w:sz w:val="22"/>
          <w:szCs w:val="22"/>
        </w:rPr>
      </w:pPr>
    </w:p>
    <w:p w:rsidR="00656AD9" w:rsidRPr="00656AD9" w:rsidRDefault="00656AD9" w:rsidP="00656AD9">
      <w:pPr>
        <w:tabs>
          <w:tab w:val="left" w:pos="3510"/>
        </w:tabs>
        <w:spacing w:before="0" w:after="160" w:line="259" w:lineRule="auto"/>
        <w:jc w:val="both"/>
        <w:rPr>
          <w:rFonts w:ascii="Calibri" w:eastAsia="Calibri" w:hAnsi="Calibri" w:cs="Arial"/>
          <w:sz w:val="22"/>
          <w:szCs w:val="22"/>
        </w:rPr>
      </w:pPr>
    </w:p>
    <w:p w:rsidR="00656AD9" w:rsidRPr="00656AD9" w:rsidRDefault="00656AD9" w:rsidP="00656AD9">
      <w:pPr>
        <w:tabs>
          <w:tab w:val="left" w:pos="3510"/>
        </w:tabs>
        <w:spacing w:before="0" w:after="160" w:line="259" w:lineRule="auto"/>
        <w:jc w:val="center"/>
        <w:rPr>
          <w:rFonts w:ascii="Calibri" w:eastAsia="Calibri" w:hAnsi="Calibri" w:cs="Arial"/>
          <w:sz w:val="72"/>
          <w:szCs w:val="72"/>
        </w:rPr>
      </w:pPr>
      <w:r>
        <w:rPr>
          <w:rFonts w:ascii="Calibri" w:eastAsia="Calibri" w:hAnsi="Calibri" w:cs="Arial"/>
          <w:sz w:val="72"/>
          <w:szCs w:val="72"/>
        </w:rPr>
        <w:t>Whistleblowing</w:t>
      </w:r>
      <w:r w:rsidRPr="00656AD9">
        <w:rPr>
          <w:rFonts w:ascii="Calibri" w:eastAsia="Calibri" w:hAnsi="Calibri" w:cs="Arial"/>
          <w:sz w:val="72"/>
          <w:szCs w:val="72"/>
        </w:rPr>
        <w:t xml:space="preserve"> policy</w:t>
      </w:r>
    </w:p>
    <w:p w:rsidR="00656AD9" w:rsidRPr="00656AD9" w:rsidRDefault="00656AD9" w:rsidP="00656AD9">
      <w:pPr>
        <w:tabs>
          <w:tab w:val="left" w:pos="3510"/>
        </w:tabs>
        <w:spacing w:before="0" w:after="160" w:line="259" w:lineRule="auto"/>
        <w:jc w:val="both"/>
        <w:rPr>
          <w:rFonts w:ascii="Calibri" w:eastAsia="Calibri" w:hAnsi="Calibri" w:cs="Arial"/>
          <w:sz w:val="22"/>
          <w:szCs w:val="22"/>
        </w:rPr>
      </w:pPr>
    </w:p>
    <w:p w:rsidR="00656AD9" w:rsidRPr="00656AD9" w:rsidRDefault="00656AD9" w:rsidP="00656AD9">
      <w:pPr>
        <w:tabs>
          <w:tab w:val="left" w:pos="3510"/>
        </w:tabs>
        <w:spacing w:before="0" w:after="160" w:line="259" w:lineRule="auto"/>
        <w:jc w:val="both"/>
        <w:rPr>
          <w:rFonts w:ascii="Calibri" w:eastAsia="Calibri" w:hAnsi="Calibri" w:cs="Arial"/>
          <w:sz w:val="22"/>
          <w:szCs w:val="22"/>
        </w:rPr>
      </w:pPr>
    </w:p>
    <w:tbl>
      <w:tblPr>
        <w:tblStyle w:val="TableGrid1"/>
        <w:tblW w:w="0" w:type="auto"/>
        <w:jc w:val="center"/>
        <w:tblLook w:val="04A0"/>
      </w:tblPr>
      <w:tblGrid>
        <w:gridCol w:w="2268"/>
        <w:gridCol w:w="4819"/>
      </w:tblGrid>
      <w:tr w:rsidR="00656AD9" w:rsidRPr="00656AD9" w:rsidTr="0021130B">
        <w:trPr>
          <w:trHeight w:val="1297"/>
          <w:jc w:val="center"/>
        </w:trPr>
        <w:tc>
          <w:tcPr>
            <w:tcW w:w="2268" w:type="dxa"/>
          </w:tcPr>
          <w:p w:rsidR="00656AD9" w:rsidRPr="00656AD9" w:rsidRDefault="00656AD9" w:rsidP="00656AD9">
            <w:pPr>
              <w:tabs>
                <w:tab w:val="left" w:pos="3510"/>
              </w:tabs>
              <w:spacing w:before="0" w:after="0"/>
              <w:jc w:val="both"/>
              <w:rPr>
                <w:rFonts w:ascii="Calibri" w:eastAsia="Calibri" w:hAnsi="Calibri" w:cs="Arial"/>
                <w:szCs w:val="22"/>
              </w:rPr>
            </w:pPr>
            <w:r w:rsidRPr="00656AD9">
              <w:rPr>
                <w:rFonts w:ascii="Calibri" w:eastAsia="Calibri" w:hAnsi="Calibri" w:cs="Arial"/>
                <w:szCs w:val="22"/>
              </w:rPr>
              <w:t>Audience:</w:t>
            </w:r>
          </w:p>
        </w:tc>
        <w:tc>
          <w:tcPr>
            <w:tcW w:w="4819" w:type="dxa"/>
          </w:tcPr>
          <w:p w:rsidR="00656AD9" w:rsidRPr="00656AD9" w:rsidRDefault="00656AD9" w:rsidP="00656AD9">
            <w:pPr>
              <w:tabs>
                <w:tab w:val="left" w:pos="3510"/>
              </w:tabs>
              <w:spacing w:before="0" w:after="0"/>
              <w:rPr>
                <w:rFonts w:ascii="Calibri" w:eastAsia="Calibri" w:hAnsi="Calibri" w:cs="Arial"/>
                <w:color w:val="000000"/>
                <w:szCs w:val="22"/>
              </w:rPr>
            </w:pPr>
            <w:r w:rsidRPr="00656AD9">
              <w:rPr>
                <w:rFonts w:ascii="Calibri" w:eastAsia="Calibri" w:hAnsi="Calibri" w:cs="Arial"/>
                <w:color w:val="000000"/>
                <w:szCs w:val="22"/>
              </w:rPr>
              <w:t>Parents</w:t>
            </w:r>
          </w:p>
          <w:p w:rsidR="00656AD9" w:rsidRPr="00656AD9" w:rsidRDefault="00656AD9" w:rsidP="00656AD9">
            <w:pPr>
              <w:tabs>
                <w:tab w:val="left" w:pos="3510"/>
              </w:tabs>
              <w:spacing w:before="0" w:after="0"/>
              <w:rPr>
                <w:rFonts w:ascii="Calibri" w:eastAsia="Calibri" w:hAnsi="Calibri" w:cs="Arial"/>
                <w:color w:val="000000"/>
                <w:szCs w:val="22"/>
              </w:rPr>
            </w:pPr>
            <w:r>
              <w:rPr>
                <w:rFonts w:ascii="Calibri" w:eastAsia="Calibri" w:hAnsi="Calibri" w:cs="Arial"/>
                <w:color w:val="000000"/>
                <w:szCs w:val="22"/>
              </w:rPr>
              <w:t>Trust employees, contractors and volunteers</w:t>
            </w:r>
          </w:p>
          <w:p w:rsidR="00656AD9" w:rsidRPr="00656AD9" w:rsidRDefault="00656AD9" w:rsidP="00656AD9">
            <w:pPr>
              <w:tabs>
                <w:tab w:val="left" w:pos="3510"/>
              </w:tabs>
              <w:spacing w:before="0" w:after="0"/>
              <w:rPr>
                <w:rFonts w:ascii="Calibri" w:eastAsia="Calibri" w:hAnsi="Calibri" w:cs="Arial"/>
                <w:color w:val="000000"/>
                <w:szCs w:val="22"/>
              </w:rPr>
            </w:pPr>
            <w:r w:rsidRPr="00656AD9">
              <w:rPr>
                <w:rFonts w:ascii="Calibri" w:eastAsia="Calibri" w:hAnsi="Calibri" w:cs="Arial"/>
                <w:color w:val="000000"/>
                <w:szCs w:val="22"/>
              </w:rPr>
              <w:t>Local Governing Bodies</w:t>
            </w:r>
          </w:p>
          <w:p w:rsidR="00656AD9" w:rsidRPr="00656AD9" w:rsidRDefault="00656AD9" w:rsidP="00656AD9">
            <w:pPr>
              <w:tabs>
                <w:tab w:val="left" w:pos="3510"/>
              </w:tabs>
              <w:spacing w:before="0" w:after="0"/>
              <w:rPr>
                <w:rFonts w:ascii="Calibri" w:eastAsia="Calibri" w:hAnsi="Calibri" w:cs="Arial"/>
                <w:color w:val="000000"/>
                <w:szCs w:val="22"/>
              </w:rPr>
            </w:pPr>
            <w:r w:rsidRPr="00656AD9">
              <w:rPr>
                <w:rFonts w:ascii="Calibri" w:eastAsia="Calibri" w:hAnsi="Calibri" w:cs="Arial"/>
                <w:color w:val="000000"/>
                <w:szCs w:val="22"/>
              </w:rPr>
              <w:t>Trustees</w:t>
            </w:r>
          </w:p>
          <w:p w:rsidR="00656AD9" w:rsidRPr="00656AD9" w:rsidRDefault="00656AD9" w:rsidP="00656AD9">
            <w:pPr>
              <w:tabs>
                <w:tab w:val="left" w:pos="3510"/>
              </w:tabs>
              <w:spacing w:before="0" w:after="0"/>
              <w:rPr>
                <w:rFonts w:ascii="Calibri" w:eastAsia="Calibri" w:hAnsi="Calibri" w:cs="Arial"/>
                <w:color w:val="000000"/>
                <w:szCs w:val="22"/>
              </w:rPr>
            </w:pPr>
            <w:r w:rsidRPr="00656AD9">
              <w:rPr>
                <w:rFonts w:ascii="Calibri" w:eastAsia="Calibri" w:hAnsi="Calibri" w:cs="Arial"/>
                <w:color w:val="000000"/>
                <w:szCs w:val="22"/>
              </w:rPr>
              <w:t>Regional Boards</w:t>
            </w:r>
          </w:p>
        </w:tc>
      </w:tr>
      <w:tr w:rsidR="00656AD9" w:rsidRPr="00656AD9" w:rsidTr="0021130B">
        <w:trPr>
          <w:trHeight w:val="70"/>
          <w:jc w:val="center"/>
        </w:trPr>
        <w:tc>
          <w:tcPr>
            <w:tcW w:w="2268" w:type="dxa"/>
          </w:tcPr>
          <w:p w:rsidR="00656AD9" w:rsidRPr="00656AD9" w:rsidRDefault="00656AD9" w:rsidP="00656AD9">
            <w:pPr>
              <w:tabs>
                <w:tab w:val="left" w:pos="3510"/>
              </w:tabs>
              <w:spacing w:before="0" w:after="0"/>
              <w:jc w:val="both"/>
              <w:rPr>
                <w:rFonts w:ascii="Calibri" w:eastAsia="Calibri" w:hAnsi="Calibri" w:cs="Arial"/>
                <w:szCs w:val="22"/>
              </w:rPr>
            </w:pPr>
            <w:r w:rsidRPr="00656AD9">
              <w:rPr>
                <w:rFonts w:ascii="Calibri" w:eastAsia="Calibri" w:hAnsi="Calibri" w:cs="Arial"/>
                <w:szCs w:val="22"/>
              </w:rPr>
              <w:t>Approved:</w:t>
            </w:r>
          </w:p>
        </w:tc>
        <w:tc>
          <w:tcPr>
            <w:tcW w:w="4819" w:type="dxa"/>
          </w:tcPr>
          <w:p w:rsidR="00656AD9" w:rsidRPr="00656AD9" w:rsidRDefault="00656AD9" w:rsidP="00656AD9">
            <w:pPr>
              <w:tabs>
                <w:tab w:val="left" w:pos="3510"/>
              </w:tabs>
              <w:spacing w:before="0" w:after="0"/>
              <w:rPr>
                <w:rFonts w:ascii="Calibri" w:eastAsia="Calibri" w:hAnsi="Calibri" w:cs="Arial"/>
                <w:color w:val="000000"/>
                <w:szCs w:val="22"/>
              </w:rPr>
            </w:pPr>
            <w:r w:rsidRPr="00656AD9">
              <w:rPr>
                <w:rFonts w:ascii="Calibri" w:eastAsia="Calibri" w:hAnsi="Calibri" w:cs="Arial"/>
                <w:color w:val="000000"/>
                <w:szCs w:val="22"/>
              </w:rPr>
              <w:t>Trust</w:t>
            </w:r>
            <w:r>
              <w:rPr>
                <w:rFonts w:ascii="Calibri" w:eastAsia="Calibri" w:hAnsi="Calibri" w:cs="Arial"/>
                <w:color w:val="000000"/>
                <w:szCs w:val="22"/>
              </w:rPr>
              <w:t>ees</w:t>
            </w:r>
            <w:r w:rsidRPr="00656AD9">
              <w:rPr>
                <w:rFonts w:ascii="Calibri" w:eastAsia="Calibri" w:hAnsi="Calibri" w:cs="Arial"/>
                <w:color w:val="000000"/>
                <w:szCs w:val="22"/>
              </w:rPr>
              <w:t xml:space="preserve"> – July 2017</w:t>
            </w:r>
          </w:p>
        </w:tc>
      </w:tr>
      <w:tr w:rsidR="00656AD9" w:rsidRPr="00656AD9" w:rsidTr="0021130B">
        <w:trPr>
          <w:jc w:val="center"/>
        </w:trPr>
        <w:tc>
          <w:tcPr>
            <w:tcW w:w="2268" w:type="dxa"/>
          </w:tcPr>
          <w:p w:rsidR="00656AD9" w:rsidRPr="00656AD9" w:rsidRDefault="00656AD9" w:rsidP="00656AD9">
            <w:pPr>
              <w:tabs>
                <w:tab w:val="left" w:pos="3510"/>
              </w:tabs>
              <w:spacing w:before="0" w:after="0"/>
              <w:jc w:val="both"/>
              <w:rPr>
                <w:rFonts w:ascii="Calibri" w:eastAsia="Calibri" w:hAnsi="Calibri" w:cs="Arial"/>
                <w:szCs w:val="22"/>
              </w:rPr>
            </w:pPr>
            <w:r w:rsidRPr="00656AD9">
              <w:rPr>
                <w:rFonts w:ascii="Calibri" w:eastAsia="Calibri" w:hAnsi="Calibri" w:cs="Arial"/>
                <w:szCs w:val="22"/>
              </w:rPr>
              <w:t>Other related policies:</w:t>
            </w:r>
          </w:p>
        </w:tc>
        <w:tc>
          <w:tcPr>
            <w:tcW w:w="4819" w:type="dxa"/>
          </w:tcPr>
          <w:p w:rsidR="00656AD9" w:rsidRPr="00656AD9" w:rsidRDefault="00656AD9" w:rsidP="00050E0B">
            <w:pPr>
              <w:tabs>
                <w:tab w:val="left" w:pos="3510"/>
              </w:tabs>
              <w:spacing w:before="0" w:after="0"/>
              <w:rPr>
                <w:rFonts w:ascii="Calibri" w:eastAsia="Calibri" w:hAnsi="Calibri" w:cs="Arial"/>
                <w:color w:val="000000"/>
                <w:szCs w:val="22"/>
              </w:rPr>
            </w:pPr>
            <w:r w:rsidRPr="00656AD9">
              <w:rPr>
                <w:rFonts w:ascii="Calibri" w:eastAsia="Calibri" w:hAnsi="Calibri" w:cs="Arial"/>
                <w:color w:val="000000"/>
                <w:szCs w:val="22"/>
              </w:rPr>
              <w:t xml:space="preserve">Code of Conduct; Disciplinary; </w:t>
            </w:r>
            <w:r w:rsidR="00050E0B">
              <w:rPr>
                <w:rFonts w:ascii="Calibri" w:eastAsia="Calibri" w:hAnsi="Calibri" w:cs="Arial"/>
                <w:color w:val="000000"/>
                <w:szCs w:val="22"/>
              </w:rPr>
              <w:t>Grievance</w:t>
            </w:r>
          </w:p>
        </w:tc>
      </w:tr>
      <w:tr w:rsidR="00656AD9" w:rsidRPr="00656AD9" w:rsidTr="0021130B">
        <w:trPr>
          <w:jc w:val="center"/>
        </w:trPr>
        <w:tc>
          <w:tcPr>
            <w:tcW w:w="2268" w:type="dxa"/>
          </w:tcPr>
          <w:p w:rsidR="00656AD9" w:rsidRPr="00656AD9" w:rsidRDefault="00656AD9" w:rsidP="00656AD9">
            <w:pPr>
              <w:tabs>
                <w:tab w:val="left" w:pos="3510"/>
              </w:tabs>
              <w:spacing w:before="0" w:after="0"/>
              <w:jc w:val="both"/>
              <w:rPr>
                <w:rFonts w:ascii="Calibri" w:eastAsia="Calibri" w:hAnsi="Calibri" w:cs="Arial"/>
                <w:szCs w:val="22"/>
              </w:rPr>
            </w:pPr>
            <w:r w:rsidRPr="00656AD9">
              <w:rPr>
                <w:rFonts w:ascii="Calibri" w:eastAsia="Calibri" w:hAnsi="Calibri" w:cs="Arial"/>
                <w:szCs w:val="22"/>
              </w:rPr>
              <w:t>Policy owner:</w:t>
            </w:r>
          </w:p>
        </w:tc>
        <w:tc>
          <w:tcPr>
            <w:tcW w:w="4819" w:type="dxa"/>
          </w:tcPr>
          <w:p w:rsidR="00656AD9" w:rsidRPr="00656AD9" w:rsidRDefault="00050E0B" w:rsidP="00656AD9">
            <w:pPr>
              <w:tabs>
                <w:tab w:val="left" w:pos="3510"/>
              </w:tabs>
              <w:spacing w:before="0" w:after="0"/>
              <w:rPr>
                <w:rFonts w:ascii="Calibri" w:eastAsia="Calibri" w:hAnsi="Calibri" w:cs="Arial"/>
                <w:szCs w:val="22"/>
              </w:rPr>
            </w:pPr>
            <w:r>
              <w:rPr>
                <w:rFonts w:ascii="Calibri" w:eastAsia="Calibri" w:hAnsi="Calibri" w:cs="Arial"/>
                <w:szCs w:val="22"/>
              </w:rPr>
              <w:t>Michelle Roe, Internal Auditor</w:t>
            </w:r>
          </w:p>
        </w:tc>
      </w:tr>
      <w:tr w:rsidR="00656AD9" w:rsidRPr="00656AD9" w:rsidTr="0021130B">
        <w:trPr>
          <w:jc w:val="center"/>
        </w:trPr>
        <w:tc>
          <w:tcPr>
            <w:tcW w:w="2268" w:type="dxa"/>
          </w:tcPr>
          <w:p w:rsidR="00656AD9" w:rsidRPr="00656AD9" w:rsidRDefault="00656AD9" w:rsidP="00656AD9">
            <w:pPr>
              <w:tabs>
                <w:tab w:val="left" w:pos="3510"/>
              </w:tabs>
              <w:spacing w:before="0" w:after="0"/>
              <w:rPr>
                <w:rFonts w:ascii="Calibri" w:eastAsia="Calibri" w:hAnsi="Calibri" w:cs="Arial"/>
                <w:szCs w:val="22"/>
              </w:rPr>
            </w:pPr>
            <w:r w:rsidRPr="00656AD9">
              <w:rPr>
                <w:rFonts w:ascii="Calibri" w:eastAsia="Calibri" w:hAnsi="Calibri" w:cs="Arial"/>
                <w:szCs w:val="22"/>
              </w:rPr>
              <w:t>Policy model:</w:t>
            </w:r>
          </w:p>
        </w:tc>
        <w:tc>
          <w:tcPr>
            <w:tcW w:w="4819" w:type="dxa"/>
          </w:tcPr>
          <w:p w:rsidR="00656AD9" w:rsidRPr="00656AD9" w:rsidRDefault="00656AD9" w:rsidP="00050E0B">
            <w:pPr>
              <w:tabs>
                <w:tab w:val="left" w:pos="3510"/>
              </w:tabs>
              <w:spacing w:before="0" w:after="0"/>
              <w:rPr>
                <w:rFonts w:ascii="Calibri" w:eastAsia="Calibri" w:hAnsi="Calibri" w:cs="Arial"/>
                <w:szCs w:val="22"/>
              </w:rPr>
            </w:pPr>
            <w:r w:rsidRPr="00656AD9">
              <w:rPr>
                <w:rFonts w:ascii="Calibri" w:eastAsia="Calibri" w:hAnsi="Calibri" w:cs="Arial"/>
                <w:szCs w:val="22"/>
              </w:rPr>
              <w:t xml:space="preserve">Compliance: </w:t>
            </w:r>
            <w:r w:rsidR="00050E0B">
              <w:rPr>
                <w:rFonts w:ascii="Calibri" w:eastAsia="Calibri" w:hAnsi="Calibri" w:cs="Arial"/>
                <w:szCs w:val="22"/>
              </w:rPr>
              <w:t>the whole Trust</w:t>
            </w:r>
            <w:r w:rsidRPr="00656AD9">
              <w:rPr>
                <w:rFonts w:ascii="Calibri" w:eastAsia="Calibri" w:hAnsi="Calibri" w:cs="Arial"/>
                <w:szCs w:val="22"/>
              </w:rPr>
              <w:t xml:space="preserve"> use</w:t>
            </w:r>
            <w:r w:rsidR="00050E0B">
              <w:rPr>
                <w:rFonts w:ascii="Calibri" w:eastAsia="Calibri" w:hAnsi="Calibri" w:cs="Arial"/>
                <w:szCs w:val="22"/>
              </w:rPr>
              <w:t>s</w:t>
            </w:r>
            <w:r w:rsidRPr="00656AD9">
              <w:rPr>
                <w:rFonts w:ascii="Calibri" w:eastAsia="Calibri" w:hAnsi="Calibri" w:cs="Arial"/>
                <w:szCs w:val="22"/>
              </w:rPr>
              <w:t xml:space="preserve"> this policy</w:t>
            </w:r>
          </w:p>
        </w:tc>
      </w:tr>
      <w:tr w:rsidR="00656AD9" w:rsidRPr="00656AD9" w:rsidTr="0021130B">
        <w:trPr>
          <w:jc w:val="center"/>
        </w:trPr>
        <w:tc>
          <w:tcPr>
            <w:tcW w:w="2268" w:type="dxa"/>
          </w:tcPr>
          <w:p w:rsidR="00656AD9" w:rsidRPr="00656AD9" w:rsidRDefault="00656AD9" w:rsidP="00656AD9">
            <w:pPr>
              <w:tabs>
                <w:tab w:val="left" w:pos="3510"/>
              </w:tabs>
              <w:spacing w:before="0" w:after="0"/>
              <w:jc w:val="both"/>
              <w:rPr>
                <w:rFonts w:ascii="Calibri" w:eastAsia="Calibri" w:hAnsi="Calibri" w:cs="Arial"/>
                <w:szCs w:val="22"/>
              </w:rPr>
            </w:pPr>
            <w:r w:rsidRPr="00656AD9">
              <w:rPr>
                <w:rFonts w:ascii="Calibri" w:eastAsia="Calibri" w:hAnsi="Calibri" w:cs="Arial"/>
                <w:szCs w:val="22"/>
              </w:rPr>
              <w:t>Review:</w:t>
            </w:r>
          </w:p>
        </w:tc>
        <w:tc>
          <w:tcPr>
            <w:tcW w:w="4819" w:type="dxa"/>
          </w:tcPr>
          <w:p w:rsidR="00656AD9" w:rsidRPr="00656AD9" w:rsidRDefault="00050E0B" w:rsidP="00656AD9">
            <w:pPr>
              <w:tabs>
                <w:tab w:val="left" w:pos="3510"/>
              </w:tabs>
              <w:spacing w:before="0" w:after="0"/>
              <w:rPr>
                <w:rFonts w:ascii="Calibri" w:eastAsia="Calibri" w:hAnsi="Calibri" w:cs="Arial"/>
                <w:szCs w:val="22"/>
              </w:rPr>
            </w:pPr>
            <w:r>
              <w:rPr>
                <w:rFonts w:ascii="Calibri" w:eastAsia="Calibri" w:hAnsi="Calibri" w:cs="Arial"/>
                <w:szCs w:val="22"/>
              </w:rPr>
              <w:t>2018/19</w:t>
            </w:r>
          </w:p>
        </w:tc>
      </w:tr>
      <w:tr w:rsidR="00656AD9" w:rsidRPr="00656AD9" w:rsidTr="0021130B">
        <w:trPr>
          <w:jc w:val="center"/>
        </w:trPr>
        <w:tc>
          <w:tcPr>
            <w:tcW w:w="2268" w:type="dxa"/>
          </w:tcPr>
          <w:p w:rsidR="00656AD9" w:rsidRPr="00656AD9" w:rsidRDefault="00656AD9" w:rsidP="00656AD9">
            <w:pPr>
              <w:tabs>
                <w:tab w:val="left" w:pos="3510"/>
              </w:tabs>
              <w:spacing w:before="0" w:after="0"/>
              <w:jc w:val="both"/>
              <w:rPr>
                <w:rFonts w:ascii="Calibri" w:eastAsia="Calibri" w:hAnsi="Calibri" w:cs="Arial"/>
                <w:szCs w:val="22"/>
              </w:rPr>
            </w:pPr>
            <w:r w:rsidRPr="00656AD9">
              <w:rPr>
                <w:rFonts w:ascii="Calibri" w:eastAsia="Calibri" w:hAnsi="Calibri" w:cs="Arial"/>
                <w:szCs w:val="22"/>
              </w:rPr>
              <w:t>Version number:</w:t>
            </w:r>
          </w:p>
        </w:tc>
        <w:tc>
          <w:tcPr>
            <w:tcW w:w="4819" w:type="dxa"/>
          </w:tcPr>
          <w:p w:rsidR="00656AD9" w:rsidRPr="00656AD9" w:rsidRDefault="00656AD9" w:rsidP="00656AD9">
            <w:pPr>
              <w:tabs>
                <w:tab w:val="left" w:pos="3510"/>
              </w:tabs>
              <w:spacing w:before="0" w:after="0"/>
              <w:rPr>
                <w:rFonts w:ascii="Calibri" w:eastAsia="Calibri" w:hAnsi="Calibri" w:cs="Arial"/>
                <w:szCs w:val="22"/>
              </w:rPr>
            </w:pPr>
            <w:r>
              <w:rPr>
                <w:rFonts w:ascii="Calibri" w:eastAsia="Calibri" w:hAnsi="Calibri" w:cs="Arial"/>
                <w:szCs w:val="22"/>
              </w:rPr>
              <w:t>1.1</w:t>
            </w:r>
            <w:r w:rsidRPr="00656AD9">
              <w:rPr>
                <w:rFonts w:ascii="Calibri" w:eastAsia="Calibri" w:hAnsi="Calibri" w:cs="Arial"/>
                <w:szCs w:val="22"/>
              </w:rPr>
              <w:t xml:space="preserve"> (July 2017)</w:t>
            </w:r>
          </w:p>
        </w:tc>
      </w:tr>
    </w:tbl>
    <w:p w:rsidR="00656AD9" w:rsidRPr="00656AD9" w:rsidRDefault="00656AD9" w:rsidP="00656AD9">
      <w:pPr>
        <w:tabs>
          <w:tab w:val="left" w:pos="3510"/>
        </w:tabs>
        <w:spacing w:before="0" w:after="160" w:line="259" w:lineRule="auto"/>
        <w:jc w:val="both"/>
        <w:rPr>
          <w:rFonts w:ascii="Calibri" w:eastAsia="Calibri" w:hAnsi="Calibri" w:cs="Arial"/>
          <w:sz w:val="22"/>
          <w:szCs w:val="22"/>
        </w:rPr>
      </w:pPr>
    </w:p>
    <w:p w:rsidR="00656AD9" w:rsidRPr="00656AD9" w:rsidRDefault="00656AD9" w:rsidP="00656AD9">
      <w:pPr>
        <w:spacing w:before="0" w:after="160" w:line="259" w:lineRule="auto"/>
        <w:jc w:val="both"/>
        <w:rPr>
          <w:rFonts w:ascii="Calibri" w:eastAsia="Calibri" w:hAnsi="Calibri" w:cs="Arial"/>
          <w:sz w:val="22"/>
          <w:szCs w:val="22"/>
        </w:rPr>
      </w:pPr>
      <w:r w:rsidRPr="00656AD9">
        <w:rPr>
          <w:rFonts w:ascii="Calibri" w:eastAsia="Calibri" w:hAnsi="Calibri" w:cs="Arial"/>
          <w:sz w:val="22"/>
          <w:szCs w:val="22"/>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1"/>
        <w:gridCol w:w="3201"/>
      </w:tblGrid>
      <w:tr w:rsidR="00656AD9" w:rsidRPr="00656AD9" w:rsidTr="0021130B">
        <w:tc>
          <w:tcPr>
            <w:tcW w:w="6041" w:type="dxa"/>
          </w:tcPr>
          <w:p w:rsidR="00656AD9" w:rsidRPr="00656AD9" w:rsidRDefault="00656AD9" w:rsidP="00656AD9">
            <w:pPr>
              <w:spacing w:before="0" w:after="0"/>
              <w:jc w:val="both"/>
              <w:rPr>
                <w:rFonts w:ascii="Calibri" w:hAnsi="Calibri" w:cs="Arial"/>
                <w:szCs w:val="22"/>
                <w:lang w:eastAsia="en-GB"/>
              </w:rPr>
            </w:pPr>
            <w:r w:rsidRPr="00656AD9">
              <w:rPr>
                <w:rFonts w:ascii="Calibri" w:hAnsi="Calibri" w:cs="Arial"/>
                <w:sz w:val="36"/>
                <w:szCs w:val="36"/>
                <w:lang w:eastAsia="en-GB"/>
              </w:rPr>
              <w:lastRenderedPageBreak/>
              <w:t xml:space="preserve">REAch2 </w:t>
            </w:r>
            <w:r>
              <w:rPr>
                <w:rFonts w:ascii="Calibri" w:hAnsi="Calibri" w:cs="Arial"/>
                <w:sz w:val="36"/>
                <w:szCs w:val="36"/>
                <w:lang w:eastAsia="en-GB"/>
              </w:rPr>
              <w:t>whistleblowing</w:t>
            </w:r>
            <w:r w:rsidRPr="00656AD9">
              <w:rPr>
                <w:rFonts w:ascii="Calibri" w:hAnsi="Calibri" w:cs="Arial"/>
                <w:sz w:val="36"/>
                <w:szCs w:val="36"/>
                <w:lang w:eastAsia="en-GB"/>
              </w:rPr>
              <w:t xml:space="preserve"> policy </w:t>
            </w:r>
            <w:r w:rsidRPr="00656AD9">
              <w:rPr>
                <w:rFonts w:ascii="Calibri" w:hAnsi="Calibri" w:cs="Arial"/>
                <w:noProof/>
                <w:sz w:val="36"/>
                <w:szCs w:val="36"/>
                <w:lang w:eastAsia="en-GB"/>
              </w:rPr>
              <w:t xml:space="preserve"> </w:t>
            </w:r>
            <w:r w:rsidRPr="00656AD9">
              <w:rPr>
                <w:rFonts w:ascii="Calibri" w:hAnsi="Calibri" w:cs="Arial"/>
                <w:noProof/>
                <w:szCs w:val="22"/>
                <w:lang w:eastAsia="en-GB"/>
              </w:rPr>
              <w:t xml:space="preserve">                                                                                   </w:t>
            </w:r>
          </w:p>
          <w:p w:rsidR="00656AD9" w:rsidRPr="00656AD9" w:rsidRDefault="00656AD9" w:rsidP="00656AD9">
            <w:pPr>
              <w:spacing w:before="0" w:after="0"/>
              <w:jc w:val="both"/>
              <w:rPr>
                <w:rFonts w:ascii="Calibri" w:hAnsi="Calibri" w:cs="Arial"/>
                <w:sz w:val="36"/>
                <w:szCs w:val="36"/>
                <w:lang w:eastAsia="en-GB"/>
              </w:rPr>
            </w:pPr>
          </w:p>
        </w:tc>
        <w:tc>
          <w:tcPr>
            <w:tcW w:w="3201" w:type="dxa"/>
          </w:tcPr>
          <w:p w:rsidR="00656AD9" w:rsidRPr="00656AD9" w:rsidRDefault="00656AD9" w:rsidP="00656AD9">
            <w:pPr>
              <w:spacing w:before="0" w:after="0"/>
              <w:jc w:val="both"/>
              <w:rPr>
                <w:rFonts w:ascii="Calibri" w:hAnsi="Calibri" w:cs="Arial"/>
                <w:sz w:val="36"/>
                <w:szCs w:val="36"/>
                <w:lang w:eastAsia="en-GB"/>
              </w:rPr>
            </w:pPr>
            <w:r w:rsidRPr="00656AD9">
              <w:rPr>
                <w:rFonts w:ascii="Calibri" w:hAnsi="Calibri" w:cs="Arial"/>
                <w:noProof/>
                <w:szCs w:val="22"/>
                <w:lang w:eastAsia="en-GB"/>
              </w:rPr>
              <w:drawing>
                <wp:inline distT="0" distB="0" distL="0" distR="0">
                  <wp:extent cx="1895475" cy="1266603"/>
                  <wp:effectExtent l="0" t="0" r="0" b="0"/>
                  <wp:docPr id="6" name="Picture 6"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r>
    </w:tbl>
    <w:p w:rsidR="00656AD9" w:rsidRPr="00656AD9" w:rsidRDefault="00656AD9" w:rsidP="00656AD9">
      <w:pPr>
        <w:spacing w:before="0" w:after="0"/>
        <w:jc w:val="both"/>
        <w:rPr>
          <w:rFonts w:ascii="Calibri" w:hAnsi="Calibri" w:cs="Arial"/>
          <w:sz w:val="22"/>
          <w:szCs w:val="22"/>
          <w:lang w:eastAsia="en-GB"/>
        </w:rPr>
      </w:pPr>
    </w:p>
    <w:p w:rsidR="00656AD9" w:rsidRPr="00656AD9" w:rsidRDefault="00656AD9" w:rsidP="00656AD9">
      <w:pPr>
        <w:spacing w:before="0" w:after="0"/>
        <w:jc w:val="both"/>
        <w:rPr>
          <w:rFonts w:ascii="Calibri" w:hAnsi="Calibri" w:cs="Arial"/>
          <w:sz w:val="22"/>
          <w:szCs w:val="22"/>
          <w:lang w:eastAsia="en-GB"/>
        </w:rPr>
      </w:pPr>
      <w:r w:rsidRPr="00656AD9">
        <w:rPr>
          <w:rFonts w:ascii="Calibri" w:hAnsi="Calibri" w:cs="Arial"/>
          <w:sz w:val="22"/>
          <w:szCs w:val="22"/>
          <w:lang w:eastAsia="en-GB"/>
        </w:rPr>
        <w:t xml:space="preserve">At REAch2, our actions and our intentions as school leaders are guided by our Touchstones: </w:t>
      </w:r>
    </w:p>
    <w:p w:rsidR="00656AD9" w:rsidRPr="00656AD9" w:rsidRDefault="00656AD9" w:rsidP="00656AD9">
      <w:pPr>
        <w:spacing w:before="0" w:after="0"/>
        <w:jc w:val="both"/>
        <w:rPr>
          <w:rFonts w:ascii="Calibri" w:hAnsi="Calibri" w:cs="Arial"/>
          <w:sz w:val="22"/>
          <w:szCs w:val="22"/>
          <w:lang w:eastAsia="en-GB"/>
        </w:rPr>
      </w:pPr>
    </w:p>
    <w:tbl>
      <w:tblPr>
        <w:tblStyle w:val="TableGrid1"/>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413"/>
      </w:tblGrid>
      <w:tr w:rsidR="00656AD9" w:rsidRPr="00656AD9" w:rsidTr="00050E0B">
        <w:tc>
          <w:tcPr>
            <w:tcW w:w="1809" w:type="dxa"/>
          </w:tcPr>
          <w:p w:rsidR="00656AD9" w:rsidRPr="00656AD9" w:rsidRDefault="00656AD9" w:rsidP="00656AD9">
            <w:pPr>
              <w:spacing w:before="0" w:after="0"/>
              <w:jc w:val="both"/>
              <w:rPr>
                <w:rFonts w:ascii="Calibri" w:hAnsi="Calibri" w:cs="Arial"/>
                <w:color w:val="2E74B5"/>
                <w:szCs w:val="22"/>
                <w:lang w:eastAsia="en-GB"/>
              </w:rPr>
            </w:pPr>
            <w:r w:rsidRPr="00656AD9">
              <w:rPr>
                <w:rFonts w:ascii="Calibri" w:hAnsi="Calibri" w:cs="Arial"/>
                <w:color w:val="2E74B5"/>
                <w:szCs w:val="22"/>
                <w:lang w:eastAsia="en-GB"/>
              </w:rPr>
              <w:t xml:space="preserve">Integrity </w:t>
            </w:r>
          </w:p>
          <w:p w:rsidR="00656AD9" w:rsidRPr="00656AD9" w:rsidRDefault="00656AD9" w:rsidP="00656AD9">
            <w:pPr>
              <w:spacing w:before="0" w:after="0"/>
              <w:ind w:firstLine="720"/>
              <w:jc w:val="both"/>
              <w:rPr>
                <w:rFonts w:ascii="Calibri" w:hAnsi="Calibri" w:cs="Arial"/>
                <w:color w:val="2E74B5"/>
                <w:szCs w:val="22"/>
                <w:lang w:eastAsia="en-GB"/>
              </w:rPr>
            </w:pPr>
          </w:p>
        </w:tc>
        <w:tc>
          <w:tcPr>
            <w:tcW w:w="6413" w:type="dxa"/>
          </w:tcPr>
          <w:p w:rsidR="00656AD9" w:rsidRPr="00656AD9" w:rsidRDefault="00656AD9" w:rsidP="00656AD9">
            <w:pPr>
              <w:spacing w:before="0" w:after="0"/>
              <w:jc w:val="both"/>
              <w:rPr>
                <w:rFonts w:ascii="Calibri" w:hAnsi="Calibri" w:cs="Arial"/>
                <w:szCs w:val="22"/>
                <w:lang w:eastAsia="en-GB"/>
              </w:rPr>
            </w:pPr>
            <w:r w:rsidRPr="00656AD9">
              <w:rPr>
                <w:rFonts w:ascii="Calibri" w:hAnsi="Calibri" w:cs="Arial"/>
                <w:szCs w:val="22"/>
                <w:lang w:eastAsia="en-GB"/>
              </w:rPr>
              <w:t xml:space="preserve">We recognise that we lead by example and if we want children to grow up to behave appropriately and with integrity then we must model this behaviour </w:t>
            </w:r>
          </w:p>
          <w:p w:rsidR="00656AD9" w:rsidRPr="00656AD9" w:rsidRDefault="00656AD9" w:rsidP="00656AD9">
            <w:pPr>
              <w:spacing w:before="0" w:after="0"/>
              <w:jc w:val="both"/>
              <w:rPr>
                <w:rFonts w:ascii="Calibri" w:hAnsi="Calibri" w:cs="Arial"/>
                <w:szCs w:val="22"/>
                <w:lang w:eastAsia="en-GB"/>
              </w:rPr>
            </w:pPr>
          </w:p>
        </w:tc>
      </w:tr>
      <w:tr w:rsidR="00656AD9" w:rsidRPr="00656AD9" w:rsidTr="00050E0B">
        <w:tc>
          <w:tcPr>
            <w:tcW w:w="1809" w:type="dxa"/>
          </w:tcPr>
          <w:p w:rsidR="00656AD9" w:rsidRPr="00656AD9" w:rsidRDefault="00656AD9" w:rsidP="00656AD9">
            <w:pPr>
              <w:spacing w:before="0" w:after="0"/>
              <w:jc w:val="both"/>
              <w:rPr>
                <w:rFonts w:ascii="Calibri" w:hAnsi="Calibri" w:cs="Arial"/>
                <w:color w:val="2E74B5"/>
                <w:szCs w:val="22"/>
                <w:lang w:eastAsia="en-GB"/>
              </w:rPr>
            </w:pPr>
            <w:r w:rsidRPr="00656AD9">
              <w:rPr>
                <w:rFonts w:ascii="Calibri" w:hAnsi="Calibri" w:cs="Arial"/>
                <w:color w:val="2E74B5"/>
                <w:szCs w:val="22"/>
                <w:lang w:eastAsia="en-GB"/>
              </w:rPr>
              <w:t xml:space="preserve">Responsibility </w:t>
            </w:r>
          </w:p>
          <w:p w:rsidR="00656AD9" w:rsidRPr="00656AD9" w:rsidRDefault="00656AD9" w:rsidP="00656AD9">
            <w:pPr>
              <w:spacing w:before="0" w:after="0"/>
              <w:jc w:val="both"/>
              <w:rPr>
                <w:rFonts w:ascii="Calibri" w:hAnsi="Calibri" w:cs="Arial"/>
                <w:color w:val="2E74B5"/>
                <w:szCs w:val="22"/>
                <w:lang w:eastAsia="en-GB"/>
              </w:rPr>
            </w:pPr>
          </w:p>
        </w:tc>
        <w:tc>
          <w:tcPr>
            <w:tcW w:w="6413" w:type="dxa"/>
          </w:tcPr>
          <w:p w:rsidR="00656AD9" w:rsidRPr="00656AD9" w:rsidRDefault="00656AD9" w:rsidP="00656AD9">
            <w:pPr>
              <w:spacing w:before="0" w:after="0"/>
              <w:jc w:val="both"/>
              <w:rPr>
                <w:rFonts w:ascii="Calibri" w:hAnsi="Calibri" w:cs="Arial"/>
                <w:szCs w:val="22"/>
                <w:lang w:eastAsia="en-GB"/>
              </w:rPr>
            </w:pPr>
            <w:r w:rsidRPr="00656AD9">
              <w:rPr>
                <w:rFonts w:ascii="Calibri" w:hAnsi="Calibri" w:cs="Arial"/>
                <w:szCs w:val="22"/>
                <w:lang w:eastAsia="en-GB"/>
              </w:rPr>
              <w:t xml:space="preserve">We act judiciously with sensitivity and care. We don’t make excuses, but mindfully answer for actions and continually seek to make improvements </w:t>
            </w:r>
          </w:p>
          <w:p w:rsidR="00656AD9" w:rsidRPr="00656AD9" w:rsidRDefault="00656AD9" w:rsidP="00656AD9">
            <w:pPr>
              <w:spacing w:before="0" w:after="0"/>
              <w:jc w:val="both"/>
              <w:rPr>
                <w:rFonts w:ascii="Calibri" w:hAnsi="Calibri" w:cs="Arial"/>
                <w:szCs w:val="22"/>
                <w:lang w:eastAsia="en-GB"/>
              </w:rPr>
            </w:pPr>
          </w:p>
        </w:tc>
      </w:tr>
      <w:tr w:rsidR="00656AD9" w:rsidRPr="00656AD9" w:rsidTr="00050E0B">
        <w:tc>
          <w:tcPr>
            <w:tcW w:w="1809" w:type="dxa"/>
          </w:tcPr>
          <w:p w:rsidR="00656AD9" w:rsidRPr="00656AD9" w:rsidRDefault="00656AD9" w:rsidP="00656AD9">
            <w:pPr>
              <w:spacing w:before="0" w:after="0"/>
              <w:jc w:val="both"/>
              <w:rPr>
                <w:rFonts w:ascii="Calibri" w:hAnsi="Calibri" w:cs="Arial"/>
                <w:color w:val="2E74B5"/>
                <w:szCs w:val="22"/>
                <w:lang w:eastAsia="en-GB"/>
              </w:rPr>
            </w:pPr>
            <w:r w:rsidRPr="00656AD9">
              <w:rPr>
                <w:rFonts w:ascii="Calibri" w:hAnsi="Calibri" w:cs="Arial"/>
                <w:color w:val="2E74B5"/>
                <w:szCs w:val="22"/>
                <w:lang w:eastAsia="en-GB"/>
              </w:rPr>
              <w:t xml:space="preserve">Inclusion </w:t>
            </w:r>
          </w:p>
          <w:p w:rsidR="00656AD9" w:rsidRPr="00656AD9" w:rsidRDefault="00656AD9" w:rsidP="00656AD9">
            <w:pPr>
              <w:spacing w:before="0" w:after="0"/>
              <w:jc w:val="both"/>
              <w:rPr>
                <w:rFonts w:ascii="Calibri" w:hAnsi="Calibri" w:cs="Arial"/>
                <w:color w:val="2E74B5"/>
                <w:szCs w:val="22"/>
                <w:lang w:eastAsia="en-GB"/>
              </w:rPr>
            </w:pPr>
          </w:p>
        </w:tc>
        <w:tc>
          <w:tcPr>
            <w:tcW w:w="6413" w:type="dxa"/>
          </w:tcPr>
          <w:p w:rsidR="00656AD9" w:rsidRPr="00656AD9" w:rsidRDefault="00656AD9" w:rsidP="00656AD9">
            <w:pPr>
              <w:spacing w:before="0" w:after="0"/>
              <w:jc w:val="both"/>
              <w:rPr>
                <w:rFonts w:ascii="Calibri" w:hAnsi="Calibri" w:cs="Arial"/>
                <w:szCs w:val="22"/>
                <w:lang w:eastAsia="en-GB"/>
              </w:rPr>
            </w:pPr>
            <w:r w:rsidRPr="00656AD9">
              <w:rPr>
                <w:rFonts w:ascii="Calibri" w:hAnsi="Calibri" w:cs="Arial"/>
                <w:szCs w:val="22"/>
                <w:lang w:eastAsia="en-GB"/>
              </w:rPr>
              <w:t xml:space="preserve">We acknowledge and celebrate that all people are different and can play a role in the REAch2 family whatever their background or learning style </w:t>
            </w:r>
          </w:p>
          <w:p w:rsidR="00656AD9" w:rsidRPr="00656AD9" w:rsidRDefault="00656AD9" w:rsidP="00656AD9">
            <w:pPr>
              <w:spacing w:before="0" w:after="0"/>
              <w:jc w:val="both"/>
              <w:rPr>
                <w:rFonts w:ascii="Calibri" w:hAnsi="Calibri" w:cs="Arial"/>
                <w:szCs w:val="22"/>
                <w:lang w:eastAsia="en-GB"/>
              </w:rPr>
            </w:pPr>
          </w:p>
        </w:tc>
      </w:tr>
      <w:tr w:rsidR="00656AD9" w:rsidRPr="00656AD9" w:rsidTr="00050E0B">
        <w:tc>
          <w:tcPr>
            <w:tcW w:w="1809" w:type="dxa"/>
          </w:tcPr>
          <w:p w:rsidR="00656AD9" w:rsidRPr="00656AD9" w:rsidRDefault="00656AD9" w:rsidP="00656AD9">
            <w:pPr>
              <w:spacing w:before="0" w:after="0"/>
              <w:jc w:val="both"/>
              <w:rPr>
                <w:rFonts w:ascii="Calibri" w:hAnsi="Calibri" w:cs="Arial"/>
                <w:color w:val="2E74B5"/>
                <w:szCs w:val="22"/>
                <w:lang w:eastAsia="en-GB"/>
              </w:rPr>
            </w:pPr>
            <w:r w:rsidRPr="00656AD9">
              <w:rPr>
                <w:rFonts w:ascii="Calibri" w:hAnsi="Calibri" w:cs="Arial"/>
                <w:color w:val="2E74B5"/>
                <w:szCs w:val="22"/>
                <w:lang w:eastAsia="en-GB"/>
              </w:rPr>
              <w:t>Enjoyment</w:t>
            </w:r>
          </w:p>
        </w:tc>
        <w:tc>
          <w:tcPr>
            <w:tcW w:w="6413" w:type="dxa"/>
          </w:tcPr>
          <w:p w:rsidR="00656AD9" w:rsidRPr="00656AD9" w:rsidRDefault="00656AD9" w:rsidP="00656AD9">
            <w:pPr>
              <w:spacing w:before="0" w:after="0"/>
              <w:jc w:val="both"/>
              <w:rPr>
                <w:rFonts w:ascii="Calibri" w:hAnsi="Calibri" w:cs="Arial"/>
                <w:szCs w:val="22"/>
                <w:lang w:eastAsia="en-GB"/>
              </w:rPr>
            </w:pPr>
            <w:r w:rsidRPr="00656AD9">
              <w:rPr>
                <w:rFonts w:ascii="Calibri" w:hAnsi="Calibri" w:cs="Arial"/>
                <w:szCs w:val="22"/>
                <w:lang w:eastAsia="en-GB"/>
              </w:rPr>
              <w:t>Providing learning that is relevant, motivating and engaging releases a child’s curiosity and fun, so that a task can be tackled and their goals achieved</w:t>
            </w:r>
          </w:p>
          <w:p w:rsidR="00656AD9" w:rsidRPr="00656AD9" w:rsidRDefault="00656AD9" w:rsidP="00656AD9">
            <w:pPr>
              <w:spacing w:before="0" w:after="0"/>
              <w:jc w:val="both"/>
              <w:rPr>
                <w:rFonts w:ascii="Calibri" w:hAnsi="Calibri" w:cs="Arial"/>
                <w:szCs w:val="22"/>
                <w:lang w:eastAsia="en-GB"/>
              </w:rPr>
            </w:pPr>
          </w:p>
        </w:tc>
      </w:tr>
      <w:tr w:rsidR="00656AD9" w:rsidRPr="00656AD9" w:rsidTr="00050E0B">
        <w:tc>
          <w:tcPr>
            <w:tcW w:w="1809" w:type="dxa"/>
          </w:tcPr>
          <w:p w:rsidR="00656AD9" w:rsidRPr="00656AD9" w:rsidRDefault="00656AD9" w:rsidP="00656AD9">
            <w:pPr>
              <w:spacing w:before="0" w:after="0"/>
              <w:jc w:val="both"/>
              <w:rPr>
                <w:rFonts w:ascii="Calibri" w:hAnsi="Calibri" w:cs="Arial"/>
                <w:color w:val="2E74B5"/>
                <w:szCs w:val="22"/>
                <w:lang w:eastAsia="en-GB"/>
              </w:rPr>
            </w:pPr>
            <w:r w:rsidRPr="00656AD9">
              <w:rPr>
                <w:rFonts w:ascii="Calibri" w:hAnsi="Calibri" w:cs="Arial"/>
                <w:color w:val="2E74B5"/>
                <w:szCs w:val="22"/>
                <w:lang w:eastAsia="en-GB"/>
              </w:rPr>
              <w:t>Inspiration</w:t>
            </w:r>
          </w:p>
        </w:tc>
        <w:tc>
          <w:tcPr>
            <w:tcW w:w="6413" w:type="dxa"/>
          </w:tcPr>
          <w:p w:rsidR="00656AD9" w:rsidRPr="00656AD9" w:rsidRDefault="00656AD9" w:rsidP="00656AD9">
            <w:pPr>
              <w:spacing w:before="0" w:after="0"/>
              <w:jc w:val="both"/>
              <w:rPr>
                <w:rFonts w:ascii="Calibri" w:hAnsi="Calibri" w:cs="Arial"/>
                <w:szCs w:val="22"/>
                <w:lang w:eastAsia="en-GB"/>
              </w:rPr>
            </w:pPr>
            <w:r w:rsidRPr="00656AD9">
              <w:rPr>
                <w:rFonts w:ascii="Calibri" w:hAnsi="Calibri" w:cs="Arial"/>
                <w:szCs w:val="22"/>
                <w:lang w:eastAsia="en-GB"/>
              </w:rPr>
              <w:t xml:space="preserve">Inspiration breathes life into our schools. Introducing children to influential experiences of people and place, motivates them to live their lives to the full </w:t>
            </w:r>
          </w:p>
          <w:p w:rsidR="00656AD9" w:rsidRPr="00656AD9" w:rsidRDefault="00656AD9" w:rsidP="00656AD9">
            <w:pPr>
              <w:spacing w:before="0" w:after="0"/>
              <w:jc w:val="both"/>
              <w:rPr>
                <w:rFonts w:ascii="Calibri" w:hAnsi="Calibri" w:cs="Arial"/>
                <w:szCs w:val="22"/>
                <w:lang w:eastAsia="en-GB"/>
              </w:rPr>
            </w:pPr>
          </w:p>
        </w:tc>
      </w:tr>
      <w:tr w:rsidR="00656AD9" w:rsidRPr="00656AD9" w:rsidTr="00050E0B">
        <w:tc>
          <w:tcPr>
            <w:tcW w:w="1809" w:type="dxa"/>
          </w:tcPr>
          <w:p w:rsidR="00656AD9" w:rsidRPr="00656AD9" w:rsidRDefault="00656AD9" w:rsidP="00656AD9">
            <w:pPr>
              <w:spacing w:before="0" w:after="0"/>
              <w:jc w:val="both"/>
              <w:rPr>
                <w:rFonts w:ascii="Calibri" w:hAnsi="Calibri" w:cs="Arial"/>
                <w:color w:val="2E74B5"/>
                <w:szCs w:val="22"/>
                <w:lang w:eastAsia="en-GB"/>
              </w:rPr>
            </w:pPr>
            <w:r w:rsidRPr="00656AD9">
              <w:rPr>
                <w:rFonts w:ascii="Calibri" w:hAnsi="Calibri" w:cs="Arial"/>
                <w:color w:val="2E74B5"/>
                <w:szCs w:val="22"/>
                <w:lang w:eastAsia="en-GB"/>
              </w:rPr>
              <w:t xml:space="preserve">Learning </w:t>
            </w:r>
          </w:p>
          <w:p w:rsidR="00656AD9" w:rsidRPr="00656AD9" w:rsidRDefault="00656AD9" w:rsidP="00656AD9">
            <w:pPr>
              <w:spacing w:before="0" w:after="0"/>
              <w:jc w:val="both"/>
              <w:rPr>
                <w:rFonts w:ascii="Calibri" w:hAnsi="Calibri" w:cs="Arial"/>
                <w:color w:val="2E74B5"/>
                <w:szCs w:val="22"/>
                <w:lang w:eastAsia="en-GB"/>
              </w:rPr>
            </w:pPr>
          </w:p>
        </w:tc>
        <w:tc>
          <w:tcPr>
            <w:tcW w:w="6413" w:type="dxa"/>
          </w:tcPr>
          <w:p w:rsidR="00656AD9" w:rsidRPr="00656AD9" w:rsidRDefault="00656AD9" w:rsidP="00656AD9">
            <w:pPr>
              <w:spacing w:before="0" w:after="0"/>
              <w:jc w:val="both"/>
              <w:rPr>
                <w:rFonts w:ascii="Calibri" w:hAnsi="Calibri" w:cs="Arial"/>
                <w:szCs w:val="22"/>
                <w:lang w:eastAsia="en-GB"/>
              </w:rPr>
            </w:pPr>
            <w:r w:rsidRPr="00656AD9">
              <w:rPr>
                <w:rFonts w:ascii="Calibri" w:hAnsi="Calibri" w:cs="Arial"/>
                <w:szCs w:val="22"/>
                <w:lang w:eastAsia="en-GB"/>
              </w:rPr>
              <w:t xml:space="preserve">Children and adults will flourish in their learning and through learning discover a future that is worth pursuing </w:t>
            </w:r>
          </w:p>
          <w:p w:rsidR="00656AD9" w:rsidRPr="00656AD9" w:rsidRDefault="00656AD9" w:rsidP="00656AD9">
            <w:pPr>
              <w:spacing w:before="0" w:after="0"/>
              <w:jc w:val="both"/>
              <w:rPr>
                <w:rFonts w:ascii="Calibri" w:hAnsi="Calibri" w:cs="Arial"/>
                <w:szCs w:val="22"/>
                <w:lang w:eastAsia="en-GB"/>
              </w:rPr>
            </w:pPr>
          </w:p>
        </w:tc>
      </w:tr>
      <w:tr w:rsidR="00656AD9" w:rsidRPr="00656AD9" w:rsidTr="00050E0B">
        <w:tc>
          <w:tcPr>
            <w:tcW w:w="1809" w:type="dxa"/>
          </w:tcPr>
          <w:p w:rsidR="00656AD9" w:rsidRPr="00656AD9" w:rsidRDefault="00656AD9" w:rsidP="00656AD9">
            <w:pPr>
              <w:spacing w:before="0" w:after="0"/>
              <w:jc w:val="both"/>
              <w:rPr>
                <w:rFonts w:ascii="Calibri" w:hAnsi="Calibri" w:cs="Arial"/>
                <w:color w:val="2E74B5"/>
                <w:szCs w:val="22"/>
                <w:lang w:eastAsia="en-GB"/>
              </w:rPr>
            </w:pPr>
            <w:r w:rsidRPr="00656AD9">
              <w:rPr>
                <w:rFonts w:ascii="Calibri" w:hAnsi="Calibri" w:cs="Arial"/>
                <w:color w:val="2E74B5"/>
                <w:szCs w:val="22"/>
                <w:lang w:eastAsia="en-GB"/>
              </w:rPr>
              <w:t xml:space="preserve">Leadership </w:t>
            </w:r>
          </w:p>
          <w:p w:rsidR="00656AD9" w:rsidRPr="00656AD9" w:rsidRDefault="00656AD9" w:rsidP="00656AD9">
            <w:pPr>
              <w:spacing w:before="0" w:after="0"/>
              <w:jc w:val="both"/>
              <w:rPr>
                <w:rFonts w:ascii="Calibri" w:hAnsi="Calibri" w:cs="Arial"/>
                <w:color w:val="2E74B5"/>
                <w:szCs w:val="22"/>
                <w:lang w:eastAsia="en-GB"/>
              </w:rPr>
            </w:pPr>
          </w:p>
        </w:tc>
        <w:tc>
          <w:tcPr>
            <w:tcW w:w="6413" w:type="dxa"/>
          </w:tcPr>
          <w:p w:rsidR="00656AD9" w:rsidRPr="00656AD9" w:rsidRDefault="00656AD9" w:rsidP="00656AD9">
            <w:pPr>
              <w:spacing w:before="0" w:after="0"/>
              <w:jc w:val="both"/>
              <w:rPr>
                <w:rFonts w:ascii="Calibri" w:hAnsi="Calibri" w:cs="Arial"/>
                <w:szCs w:val="22"/>
                <w:lang w:eastAsia="en-GB"/>
              </w:rPr>
            </w:pPr>
            <w:r w:rsidRPr="00656AD9">
              <w:rPr>
                <w:rFonts w:ascii="Calibri" w:hAnsi="Calibri" w:cs="Arial"/>
                <w:szCs w:val="22"/>
                <w:lang w:eastAsia="en-GB"/>
              </w:rPr>
              <w:t>REAch2 aspires for high quality leadership by seeking out talent, developing potential and spotting the possible in people as well as the actual</w:t>
            </w:r>
          </w:p>
          <w:p w:rsidR="00656AD9" w:rsidRPr="00656AD9" w:rsidRDefault="00656AD9" w:rsidP="00656AD9">
            <w:pPr>
              <w:spacing w:before="0" w:after="0"/>
              <w:jc w:val="both"/>
              <w:rPr>
                <w:rFonts w:ascii="Calibri" w:hAnsi="Calibri" w:cs="Arial"/>
                <w:szCs w:val="22"/>
                <w:lang w:eastAsia="en-GB"/>
              </w:rPr>
            </w:pPr>
          </w:p>
        </w:tc>
      </w:tr>
    </w:tbl>
    <w:p w:rsidR="00504FFD" w:rsidRPr="00D44BAA" w:rsidRDefault="007F1A90">
      <w:pPr>
        <w:spacing w:before="0" w:after="0"/>
      </w:pPr>
      <w:r>
        <w:br w:type="page"/>
      </w:r>
    </w:p>
    <w:p w:rsidR="00D44BAA" w:rsidRPr="00D44BAA" w:rsidRDefault="00D44BAA">
      <w:pPr>
        <w:spacing w:before="0" w:after="0"/>
      </w:pPr>
    </w:p>
    <w:p w:rsidR="0099073D" w:rsidRDefault="008E28BD" w:rsidP="008E28BD">
      <w:pPr>
        <w:pStyle w:val="Heading1"/>
      </w:pPr>
      <w:r>
        <w:t>Contents</w:t>
      </w:r>
    </w:p>
    <w:tbl>
      <w:tblPr>
        <w:tblStyle w:val="TableGrid"/>
        <w:tblW w:w="0" w:type="auto"/>
        <w:tblLook w:val="04A0"/>
      </w:tblPr>
      <w:tblGrid>
        <w:gridCol w:w="7441"/>
        <w:gridCol w:w="855"/>
      </w:tblGrid>
      <w:tr w:rsidR="008E28BD" w:rsidTr="00866A33">
        <w:tc>
          <w:tcPr>
            <w:tcW w:w="7441" w:type="dxa"/>
          </w:tcPr>
          <w:p w:rsidR="008E28BD" w:rsidRDefault="008E28BD" w:rsidP="008E28BD">
            <w:r>
              <w:t>What is whistleblowing?</w:t>
            </w:r>
          </w:p>
        </w:tc>
        <w:tc>
          <w:tcPr>
            <w:tcW w:w="855" w:type="dxa"/>
          </w:tcPr>
          <w:p w:rsidR="008E28BD" w:rsidRDefault="00AE672A" w:rsidP="00AE672A">
            <w:pPr>
              <w:jc w:val="center"/>
            </w:pPr>
            <w:r>
              <w:t>4</w:t>
            </w:r>
          </w:p>
        </w:tc>
      </w:tr>
      <w:tr w:rsidR="008E28BD" w:rsidTr="00866A33">
        <w:tc>
          <w:tcPr>
            <w:tcW w:w="7441" w:type="dxa"/>
          </w:tcPr>
          <w:p w:rsidR="008E28BD" w:rsidRDefault="008E28BD" w:rsidP="008E28BD">
            <w:r>
              <w:t>The Trust’s commitments to employees who whistle-blow</w:t>
            </w:r>
          </w:p>
        </w:tc>
        <w:tc>
          <w:tcPr>
            <w:tcW w:w="855" w:type="dxa"/>
          </w:tcPr>
          <w:p w:rsidR="008E28BD" w:rsidRDefault="00AE672A" w:rsidP="00AE672A">
            <w:pPr>
              <w:jc w:val="center"/>
            </w:pPr>
            <w:r>
              <w:t>5</w:t>
            </w:r>
          </w:p>
        </w:tc>
      </w:tr>
      <w:tr w:rsidR="008E28BD" w:rsidTr="00866A33">
        <w:tc>
          <w:tcPr>
            <w:tcW w:w="7441" w:type="dxa"/>
          </w:tcPr>
          <w:p w:rsidR="008E28BD" w:rsidRDefault="008E28BD" w:rsidP="008E28BD">
            <w:r>
              <w:t>Whistleblowing procedures</w:t>
            </w:r>
          </w:p>
          <w:p w:rsidR="001E2D04" w:rsidRPr="001E2D04" w:rsidRDefault="001E2D04" w:rsidP="001E2D04">
            <w:pPr>
              <w:spacing w:after="120"/>
              <w:ind w:left="720"/>
            </w:pPr>
            <w:r w:rsidRPr="001E2D04">
              <w:t>Making the disclosure as an employee</w:t>
            </w:r>
          </w:p>
        </w:tc>
        <w:tc>
          <w:tcPr>
            <w:tcW w:w="855" w:type="dxa"/>
          </w:tcPr>
          <w:p w:rsidR="008E28BD" w:rsidRDefault="00AE672A" w:rsidP="00AE672A">
            <w:pPr>
              <w:jc w:val="center"/>
            </w:pPr>
            <w:r>
              <w:t>6</w:t>
            </w:r>
          </w:p>
          <w:p w:rsidR="00AE672A" w:rsidRDefault="00AE672A" w:rsidP="00AE672A">
            <w:pPr>
              <w:jc w:val="center"/>
            </w:pPr>
            <w:r>
              <w:t>6</w:t>
            </w:r>
          </w:p>
        </w:tc>
      </w:tr>
      <w:tr w:rsidR="008E28BD" w:rsidTr="00866A33">
        <w:tc>
          <w:tcPr>
            <w:tcW w:w="7441" w:type="dxa"/>
          </w:tcPr>
          <w:p w:rsidR="008E28BD" w:rsidRPr="001E2D04" w:rsidRDefault="001E2D04" w:rsidP="001E2D04">
            <w:pPr>
              <w:spacing w:after="120"/>
              <w:ind w:left="720"/>
            </w:pPr>
            <w:r w:rsidRPr="001E2D04">
              <w:t>Managing a Disclosure as a manager</w:t>
            </w:r>
          </w:p>
        </w:tc>
        <w:tc>
          <w:tcPr>
            <w:tcW w:w="855" w:type="dxa"/>
          </w:tcPr>
          <w:p w:rsidR="008E28BD" w:rsidRDefault="00AE672A" w:rsidP="00AE672A">
            <w:pPr>
              <w:jc w:val="center"/>
            </w:pPr>
            <w:r>
              <w:t>7</w:t>
            </w:r>
          </w:p>
        </w:tc>
      </w:tr>
      <w:tr w:rsidR="008E28BD" w:rsidTr="00866A33">
        <w:tc>
          <w:tcPr>
            <w:tcW w:w="7441" w:type="dxa"/>
          </w:tcPr>
          <w:p w:rsidR="008E28BD" w:rsidRPr="001E2D04" w:rsidRDefault="001E2D04" w:rsidP="001E2D04">
            <w:pPr>
              <w:spacing w:after="120"/>
              <w:ind w:left="720"/>
            </w:pPr>
            <w:r w:rsidRPr="001E2D04">
              <w:t>Managing a Disclosure Meeting</w:t>
            </w:r>
          </w:p>
        </w:tc>
        <w:tc>
          <w:tcPr>
            <w:tcW w:w="855" w:type="dxa"/>
          </w:tcPr>
          <w:p w:rsidR="008E28BD" w:rsidRDefault="00AE672A" w:rsidP="00AE672A">
            <w:pPr>
              <w:jc w:val="center"/>
            </w:pPr>
            <w:r>
              <w:t>8</w:t>
            </w:r>
          </w:p>
        </w:tc>
      </w:tr>
      <w:tr w:rsidR="001E2D04" w:rsidTr="00866A33">
        <w:tc>
          <w:tcPr>
            <w:tcW w:w="7441" w:type="dxa"/>
          </w:tcPr>
          <w:p w:rsidR="001E2D04" w:rsidRPr="001E2D04" w:rsidRDefault="001E2D04" w:rsidP="001E2D04">
            <w:pPr>
              <w:spacing w:after="120"/>
              <w:ind w:left="720"/>
              <w:rPr>
                <w:rFonts w:cs="Arial"/>
              </w:rPr>
            </w:pPr>
            <w:r w:rsidRPr="001E2D04">
              <w:t>Assessing the Disclosure</w:t>
            </w:r>
          </w:p>
        </w:tc>
        <w:tc>
          <w:tcPr>
            <w:tcW w:w="855" w:type="dxa"/>
          </w:tcPr>
          <w:p w:rsidR="001E2D04" w:rsidRDefault="00AE672A" w:rsidP="00AE672A">
            <w:pPr>
              <w:jc w:val="center"/>
            </w:pPr>
            <w:r>
              <w:t>9</w:t>
            </w:r>
          </w:p>
        </w:tc>
      </w:tr>
      <w:tr w:rsidR="001E2D04" w:rsidTr="00866A33">
        <w:tc>
          <w:tcPr>
            <w:tcW w:w="7441" w:type="dxa"/>
          </w:tcPr>
          <w:p w:rsidR="001E2D04" w:rsidRPr="001E2D04" w:rsidRDefault="001E2D04" w:rsidP="001E2D04">
            <w:pPr>
              <w:spacing w:after="120"/>
              <w:ind w:left="720"/>
              <w:rPr>
                <w:rFonts w:cs="Arial"/>
              </w:rPr>
            </w:pPr>
            <w:r w:rsidRPr="001E2D04">
              <w:rPr>
                <w:rFonts w:cs="Arial"/>
              </w:rPr>
              <w:t xml:space="preserve">Role of </w:t>
            </w:r>
            <w:r w:rsidR="002616DA">
              <w:rPr>
                <w:rFonts w:cs="Arial"/>
              </w:rPr>
              <w:t>Internal Auditor</w:t>
            </w:r>
          </w:p>
        </w:tc>
        <w:tc>
          <w:tcPr>
            <w:tcW w:w="855" w:type="dxa"/>
          </w:tcPr>
          <w:p w:rsidR="001E2D04" w:rsidRDefault="00AE672A" w:rsidP="00AE672A">
            <w:pPr>
              <w:jc w:val="center"/>
            </w:pPr>
            <w:r>
              <w:t>9</w:t>
            </w:r>
          </w:p>
        </w:tc>
      </w:tr>
      <w:tr w:rsidR="001E2D04" w:rsidTr="00866A33">
        <w:tc>
          <w:tcPr>
            <w:tcW w:w="7441" w:type="dxa"/>
          </w:tcPr>
          <w:p w:rsidR="001E2D04" w:rsidRDefault="001E2D04" w:rsidP="008E28BD">
            <w:r>
              <w:t>Trustee Risk and Audit Committee</w:t>
            </w:r>
          </w:p>
        </w:tc>
        <w:tc>
          <w:tcPr>
            <w:tcW w:w="855" w:type="dxa"/>
          </w:tcPr>
          <w:p w:rsidR="001E2D04" w:rsidRDefault="00AE672A" w:rsidP="00AE672A">
            <w:pPr>
              <w:jc w:val="center"/>
            </w:pPr>
            <w:r>
              <w:t>11</w:t>
            </w:r>
          </w:p>
        </w:tc>
      </w:tr>
      <w:tr w:rsidR="008E28BD" w:rsidTr="00866A33">
        <w:tc>
          <w:tcPr>
            <w:tcW w:w="7441" w:type="dxa"/>
          </w:tcPr>
          <w:p w:rsidR="008E28BD" w:rsidRDefault="0074760F" w:rsidP="008E28BD">
            <w:r>
              <w:t>Feedback to employees who are whistleblowing</w:t>
            </w:r>
          </w:p>
        </w:tc>
        <w:tc>
          <w:tcPr>
            <w:tcW w:w="855" w:type="dxa"/>
          </w:tcPr>
          <w:p w:rsidR="008E28BD" w:rsidRDefault="00AE672A" w:rsidP="00AE672A">
            <w:pPr>
              <w:jc w:val="center"/>
            </w:pPr>
            <w:r>
              <w:t>11</w:t>
            </w:r>
          </w:p>
        </w:tc>
      </w:tr>
      <w:tr w:rsidR="008E28BD" w:rsidTr="00866A33">
        <w:tc>
          <w:tcPr>
            <w:tcW w:w="7441" w:type="dxa"/>
          </w:tcPr>
          <w:p w:rsidR="008E28BD" w:rsidRDefault="0074760F" w:rsidP="008E28BD">
            <w:r>
              <w:t>Independent information and advice for employees concerned about ‘blowing the whistle’</w:t>
            </w:r>
          </w:p>
        </w:tc>
        <w:tc>
          <w:tcPr>
            <w:tcW w:w="855" w:type="dxa"/>
          </w:tcPr>
          <w:p w:rsidR="008E28BD" w:rsidRDefault="00AE672A" w:rsidP="00AE672A">
            <w:pPr>
              <w:jc w:val="center"/>
            </w:pPr>
            <w:r>
              <w:t>12</w:t>
            </w:r>
          </w:p>
        </w:tc>
      </w:tr>
      <w:tr w:rsidR="0074760F" w:rsidTr="00866A33">
        <w:tc>
          <w:tcPr>
            <w:tcW w:w="7441" w:type="dxa"/>
          </w:tcPr>
          <w:p w:rsidR="0074760F" w:rsidRDefault="0074760F" w:rsidP="008E28BD">
            <w:r>
              <w:t>Blowing the whistle to the relevant prescribed person(s)</w:t>
            </w:r>
          </w:p>
        </w:tc>
        <w:tc>
          <w:tcPr>
            <w:tcW w:w="855" w:type="dxa"/>
          </w:tcPr>
          <w:p w:rsidR="0074760F" w:rsidRDefault="00AE672A" w:rsidP="00AE672A">
            <w:pPr>
              <w:jc w:val="center"/>
            </w:pPr>
            <w:r>
              <w:t>12</w:t>
            </w:r>
          </w:p>
        </w:tc>
      </w:tr>
      <w:tr w:rsidR="0074760F" w:rsidTr="00866A33">
        <w:tc>
          <w:tcPr>
            <w:tcW w:w="7441" w:type="dxa"/>
          </w:tcPr>
          <w:p w:rsidR="0074760F" w:rsidRDefault="0074760F" w:rsidP="008E28BD">
            <w:r>
              <w:t>Supporting colleagues who have ‘blown the whistle’</w:t>
            </w:r>
          </w:p>
        </w:tc>
        <w:tc>
          <w:tcPr>
            <w:tcW w:w="855" w:type="dxa"/>
          </w:tcPr>
          <w:p w:rsidR="0074760F" w:rsidRDefault="00AE672A" w:rsidP="00AE672A">
            <w:pPr>
              <w:jc w:val="center"/>
            </w:pPr>
            <w:r>
              <w:t>12</w:t>
            </w:r>
          </w:p>
        </w:tc>
      </w:tr>
      <w:tr w:rsidR="0074760F" w:rsidTr="00866A33">
        <w:tc>
          <w:tcPr>
            <w:tcW w:w="7441" w:type="dxa"/>
          </w:tcPr>
          <w:p w:rsidR="0074760F" w:rsidRDefault="0074760F" w:rsidP="008E28BD">
            <w:r>
              <w:t>Training and development</w:t>
            </w:r>
          </w:p>
        </w:tc>
        <w:tc>
          <w:tcPr>
            <w:tcW w:w="855" w:type="dxa"/>
          </w:tcPr>
          <w:p w:rsidR="0074760F" w:rsidRDefault="00AE672A" w:rsidP="00AE672A">
            <w:pPr>
              <w:jc w:val="center"/>
            </w:pPr>
            <w:r>
              <w:t>13</w:t>
            </w:r>
          </w:p>
        </w:tc>
      </w:tr>
      <w:tr w:rsidR="00656AD9" w:rsidTr="00866A33">
        <w:tc>
          <w:tcPr>
            <w:tcW w:w="7441" w:type="dxa"/>
          </w:tcPr>
          <w:p w:rsidR="00656AD9" w:rsidRDefault="00656AD9" w:rsidP="008E28BD">
            <w:r>
              <w:t xml:space="preserve">Annex </w:t>
            </w:r>
            <w:r w:rsidR="00050E0B">
              <w:t>–</w:t>
            </w:r>
            <w:r>
              <w:t xml:space="preserve"> </w:t>
            </w:r>
            <w:r w:rsidR="00050E0B">
              <w:t xml:space="preserve">whistleblowing </w:t>
            </w:r>
            <w:r>
              <w:t>flowchart</w:t>
            </w:r>
          </w:p>
        </w:tc>
        <w:tc>
          <w:tcPr>
            <w:tcW w:w="855" w:type="dxa"/>
          </w:tcPr>
          <w:p w:rsidR="00656AD9" w:rsidRDefault="00AE672A" w:rsidP="00AE672A">
            <w:pPr>
              <w:jc w:val="center"/>
            </w:pPr>
            <w:r>
              <w:t>14</w:t>
            </w:r>
          </w:p>
        </w:tc>
      </w:tr>
    </w:tbl>
    <w:p w:rsidR="004921F3" w:rsidRDefault="004921F3" w:rsidP="008E28BD">
      <w:bookmarkStart w:id="0" w:name="_GoBack"/>
      <w:bookmarkEnd w:id="0"/>
    </w:p>
    <w:p w:rsidR="008E28BD" w:rsidRDefault="004921F3" w:rsidP="004921F3">
      <w:pPr>
        <w:pStyle w:val="Heading1"/>
      </w:pPr>
      <w:r>
        <w:lastRenderedPageBreak/>
        <w:t>What is Whistleblowing?</w:t>
      </w:r>
    </w:p>
    <w:p w:rsidR="00A6412A" w:rsidRDefault="00A6412A" w:rsidP="00442819">
      <w:pPr>
        <w:spacing w:after="120"/>
        <w:rPr>
          <w:rFonts w:eastAsiaTheme="minorEastAsia"/>
          <w:lang w:val="en-US"/>
        </w:rPr>
      </w:pPr>
      <w:bookmarkStart w:id="1" w:name="What_are_an_employerís_responsibilities_"/>
      <w:bookmarkStart w:id="2" w:name="bookmark1"/>
      <w:bookmarkStart w:id="3" w:name="What_is_whistleblowing?"/>
      <w:bookmarkStart w:id="4" w:name="bookmark0"/>
      <w:bookmarkEnd w:id="1"/>
      <w:bookmarkEnd w:id="2"/>
      <w:bookmarkEnd w:id="3"/>
      <w:bookmarkEnd w:id="4"/>
      <w:r>
        <w:rPr>
          <w:rFonts w:eastAsiaTheme="minorEastAsia"/>
          <w:lang w:val="en-US"/>
        </w:rPr>
        <w:t xml:space="preserve">REAch2 Academy Trust is committed to achieving the highest possible standards of service and </w:t>
      </w:r>
      <w:r w:rsidR="00866A33">
        <w:rPr>
          <w:rFonts w:eastAsiaTheme="minorEastAsia"/>
          <w:lang w:val="en-US"/>
        </w:rPr>
        <w:t>ethical</w:t>
      </w:r>
      <w:r>
        <w:rPr>
          <w:rFonts w:eastAsiaTheme="minorEastAsia"/>
          <w:lang w:val="en-US"/>
        </w:rPr>
        <w:t xml:space="preserve"> standards and this policy will enable workers to raise their concerns of serious wrongdoing without fear of reprisal.</w:t>
      </w:r>
    </w:p>
    <w:p w:rsidR="00A6412A" w:rsidRDefault="00A6412A" w:rsidP="00442819">
      <w:pPr>
        <w:spacing w:after="120"/>
        <w:rPr>
          <w:rFonts w:eastAsiaTheme="minorEastAsia"/>
          <w:lang w:val="en-US"/>
        </w:rPr>
      </w:pPr>
      <w:r>
        <w:rPr>
          <w:rFonts w:eastAsiaTheme="minorEastAsia"/>
          <w:lang w:val="en-US"/>
        </w:rPr>
        <w:t>This policy applies to all individuals working for REAch2 Academy Trust at all levels and grades, whether they are employees, contractors and casual or agency staff.</w:t>
      </w:r>
      <w:r w:rsidR="005138B0">
        <w:rPr>
          <w:rFonts w:eastAsiaTheme="minorEastAsia"/>
          <w:lang w:val="en-US"/>
        </w:rPr>
        <w:t xml:space="preserve">  Although legislation only applies to paid workers, best practice is for policies also to apply to volunteers and non-executives (such as governors).  REAch2 Academy Trust therefore envisages this policy being used in relation to such individuals as potential whistleblowers, with the protection that goes with that, but also as parties who may be cited in a whistleblowing disclosure.  References in this policy to employees or workers should therefore be read as also applying to volunteers including governors.  </w:t>
      </w:r>
    </w:p>
    <w:p w:rsidR="006C0085" w:rsidRPr="00442819" w:rsidRDefault="006C0085" w:rsidP="00442819">
      <w:pPr>
        <w:spacing w:after="120"/>
        <w:rPr>
          <w:rFonts w:eastAsiaTheme="minorEastAsia"/>
          <w:lang w:val="en-US"/>
        </w:rPr>
      </w:pPr>
      <w:r w:rsidRPr="006C0085">
        <w:rPr>
          <w:rFonts w:eastAsiaTheme="minorEastAsia"/>
          <w:lang w:val="en-US"/>
        </w:rPr>
        <w:t>Whistleblowing is the term used when a</w:t>
      </w:r>
      <w:r>
        <w:rPr>
          <w:rFonts w:eastAsiaTheme="minorEastAsia"/>
          <w:lang w:val="en-US"/>
        </w:rPr>
        <w:t>n</w:t>
      </w:r>
      <w:r w:rsidRPr="006C0085">
        <w:rPr>
          <w:rFonts w:eastAsiaTheme="minorEastAsia"/>
          <w:lang w:val="en-US"/>
        </w:rPr>
        <w:t xml:space="preserve"> </w:t>
      </w:r>
      <w:r>
        <w:rPr>
          <w:rFonts w:eastAsiaTheme="minorEastAsia"/>
          <w:lang w:val="en-US"/>
        </w:rPr>
        <w:t>employee</w:t>
      </w:r>
      <w:r w:rsidRPr="006C0085">
        <w:rPr>
          <w:rFonts w:eastAsiaTheme="minorEastAsia"/>
          <w:lang w:val="en-US"/>
        </w:rPr>
        <w:t xml:space="preserve"> </w:t>
      </w:r>
      <w:r>
        <w:rPr>
          <w:rFonts w:eastAsiaTheme="minorEastAsia"/>
          <w:lang w:val="en-US"/>
        </w:rPr>
        <w:t>makes a disclosure</w:t>
      </w:r>
      <w:r w:rsidRPr="006C0085">
        <w:rPr>
          <w:rFonts w:eastAsiaTheme="minorEastAsia"/>
          <w:lang w:val="en-US"/>
        </w:rPr>
        <w:t xml:space="preserve"> concerning wrongdoing. </w:t>
      </w:r>
      <w:r>
        <w:rPr>
          <w:rFonts w:eastAsiaTheme="minorEastAsia"/>
          <w:lang w:val="en-US"/>
        </w:rPr>
        <w:t xml:space="preserve"> </w:t>
      </w:r>
      <w:r w:rsidRPr="006C0085">
        <w:rPr>
          <w:rFonts w:eastAsiaTheme="minorEastAsia"/>
          <w:lang w:val="en-US"/>
        </w:rPr>
        <w:t>The wrongdoing will typically (although not necessarily) be something they have witnessed at work.</w:t>
      </w:r>
    </w:p>
    <w:p w:rsidR="00442819" w:rsidRDefault="006C0085" w:rsidP="00442819">
      <w:pPr>
        <w:spacing w:after="120"/>
        <w:rPr>
          <w:rFonts w:eastAsiaTheme="minorEastAsia"/>
          <w:lang w:val="en-US"/>
        </w:rPr>
      </w:pPr>
      <w:r w:rsidRPr="006C0085">
        <w:rPr>
          <w:rFonts w:eastAsiaTheme="minorEastAsia"/>
          <w:lang w:val="en-US"/>
        </w:rPr>
        <w:t>To be covered by whistleblowing law, a worker who makes a disclosure mus</w:t>
      </w:r>
      <w:r w:rsidR="00442819">
        <w:rPr>
          <w:rFonts w:eastAsiaTheme="minorEastAsia"/>
          <w:lang w:val="en-US"/>
        </w:rPr>
        <w:t>t reasonably believe two things:</w:t>
      </w:r>
      <w:r w:rsidRPr="006C0085">
        <w:rPr>
          <w:rFonts w:eastAsiaTheme="minorEastAsia"/>
          <w:lang w:val="en-US"/>
        </w:rPr>
        <w:t xml:space="preserve"> </w:t>
      </w:r>
    </w:p>
    <w:p w:rsidR="006C0085" w:rsidRPr="006C0085" w:rsidRDefault="006C0085" w:rsidP="002616DA">
      <w:pPr>
        <w:spacing w:after="120"/>
        <w:rPr>
          <w:rFonts w:eastAsiaTheme="minorEastAsia"/>
          <w:lang w:val="en-US"/>
        </w:rPr>
      </w:pPr>
      <w:r w:rsidRPr="006C0085">
        <w:rPr>
          <w:rFonts w:eastAsiaTheme="minorEastAsia"/>
          <w:lang w:val="en-US"/>
        </w:rPr>
        <w:t xml:space="preserve">The first is that they are acting in the public interest. This means that personal grievances and complaints are not covered by </w:t>
      </w:r>
      <w:r>
        <w:rPr>
          <w:rFonts w:eastAsiaTheme="minorEastAsia"/>
          <w:lang w:val="en-US"/>
        </w:rPr>
        <w:t xml:space="preserve">this </w:t>
      </w:r>
      <w:r w:rsidRPr="006C0085">
        <w:rPr>
          <w:rFonts w:eastAsiaTheme="minorEastAsia"/>
          <w:lang w:val="en-US"/>
        </w:rPr>
        <w:t>whistleblowing</w:t>
      </w:r>
      <w:r w:rsidRPr="006C0085">
        <w:rPr>
          <w:rFonts w:eastAsiaTheme="minorEastAsia"/>
          <w:spacing w:val="-2"/>
          <w:lang w:val="en-US"/>
        </w:rPr>
        <w:t xml:space="preserve"> </w:t>
      </w:r>
      <w:r>
        <w:rPr>
          <w:rFonts w:eastAsiaTheme="minorEastAsia"/>
          <w:lang w:val="en-US"/>
        </w:rPr>
        <w:t>policy</w:t>
      </w:r>
      <w:r w:rsidRPr="006C0085">
        <w:rPr>
          <w:rFonts w:eastAsiaTheme="minorEastAsia"/>
          <w:lang w:val="en-US"/>
        </w:rPr>
        <w:t>.</w:t>
      </w:r>
      <w:r>
        <w:rPr>
          <w:rFonts w:eastAsiaTheme="minorEastAsia"/>
          <w:lang w:val="en-US"/>
        </w:rPr>
        <w:t xml:space="preserve">  </w:t>
      </w:r>
      <w:r w:rsidR="00442819">
        <w:rPr>
          <w:rFonts w:eastAsiaTheme="minorEastAsia"/>
          <w:lang w:val="en-US"/>
        </w:rPr>
        <w:t>Personal</w:t>
      </w:r>
      <w:r>
        <w:rPr>
          <w:rFonts w:eastAsiaTheme="minorEastAsia"/>
          <w:lang w:val="en-US"/>
        </w:rPr>
        <w:t xml:space="preserve"> </w:t>
      </w:r>
      <w:r w:rsidR="00442819">
        <w:rPr>
          <w:rFonts w:eastAsiaTheme="minorEastAsia"/>
          <w:lang w:val="en-US"/>
        </w:rPr>
        <w:t>grievances or complaints must be raised through the Trust’s grievance procedure;</w:t>
      </w:r>
    </w:p>
    <w:p w:rsidR="006C0085" w:rsidRPr="006C0085" w:rsidRDefault="006C0085" w:rsidP="002616DA">
      <w:pPr>
        <w:spacing w:after="120"/>
        <w:rPr>
          <w:rFonts w:eastAsiaTheme="minorEastAsia"/>
          <w:lang w:val="en-US"/>
        </w:rPr>
      </w:pPr>
      <w:r w:rsidRPr="006C0085">
        <w:rPr>
          <w:rFonts w:eastAsiaTheme="minorEastAsia"/>
          <w:lang w:val="en-US"/>
        </w:rPr>
        <w:t>The second thing that a worker must reasonably believe is that the disclosure tends to show past, present or likely future wrongdoing falling into one or more of the following categories:</w:t>
      </w:r>
    </w:p>
    <w:p w:rsidR="006C0085" w:rsidRPr="00442819" w:rsidRDefault="00442819" w:rsidP="002616DA">
      <w:pPr>
        <w:pStyle w:val="ListParagraph"/>
        <w:numPr>
          <w:ilvl w:val="0"/>
          <w:numId w:val="3"/>
        </w:numPr>
        <w:spacing w:after="120"/>
        <w:ind w:left="426"/>
        <w:rPr>
          <w:rFonts w:ascii="Arial" w:hAnsi="Arial" w:cs="Arial"/>
        </w:rPr>
      </w:pPr>
      <w:r w:rsidRPr="00442819">
        <w:rPr>
          <w:rFonts w:ascii="Arial" w:hAnsi="Arial" w:cs="Arial"/>
        </w:rPr>
        <w:t>Criminal</w:t>
      </w:r>
      <w:r w:rsidR="006C0085" w:rsidRPr="00442819">
        <w:rPr>
          <w:rFonts w:ascii="Arial" w:hAnsi="Arial" w:cs="Arial"/>
        </w:rPr>
        <w:t xml:space="preserve"> offences (this may include, for example, types of financial impropriety such as</w:t>
      </w:r>
      <w:r w:rsidR="006C0085" w:rsidRPr="00442819">
        <w:rPr>
          <w:rFonts w:ascii="Arial" w:hAnsi="Arial" w:cs="Arial"/>
          <w:spacing w:val="-2"/>
        </w:rPr>
        <w:t xml:space="preserve"> </w:t>
      </w:r>
      <w:r w:rsidR="006C0085" w:rsidRPr="00442819">
        <w:rPr>
          <w:rFonts w:ascii="Arial" w:hAnsi="Arial" w:cs="Arial"/>
        </w:rPr>
        <w:t>fraud)</w:t>
      </w:r>
    </w:p>
    <w:p w:rsidR="006C0085" w:rsidRPr="00442819" w:rsidRDefault="00442819" w:rsidP="002616DA">
      <w:pPr>
        <w:pStyle w:val="ListParagraph"/>
        <w:numPr>
          <w:ilvl w:val="0"/>
          <w:numId w:val="3"/>
        </w:numPr>
        <w:spacing w:after="120"/>
        <w:ind w:left="426"/>
        <w:rPr>
          <w:rFonts w:ascii="Arial" w:hAnsi="Arial" w:cs="Arial"/>
        </w:rPr>
      </w:pPr>
      <w:r w:rsidRPr="00442819">
        <w:rPr>
          <w:rFonts w:ascii="Arial" w:hAnsi="Arial" w:cs="Arial"/>
        </w:rPr>
        <w:t>Failure</w:t>
      </w:r>
      <w:r w:rsidR="006C0085" w:rsidRPr="00442819">
        <w:rPr>
          <w:rFonts w:ascii="Arial" w:hAnsi="Arial" w:cs="Arial"/>
        </w:rPr>
        <w:t xml:space="preserve"> to comply with an obligation set out in</w:t>
      </w:r>
      <w:r w:rsidR="006C0085" w:rsidRPr="00442819">
        <w:rPr>
          <w:rFonts w:ascii="Arial" w:hAnsi="Arial" w:cs="Arial"/>
          <w:spacing w:val="-7"/>
        </w:rPr>
        <w:t xml:space="preserve"> </w:t>
      </w:r>
      <w:r w:rsidR="006C0085" w:rsidRPr="00442819">
        <w:rPr>
          <w:rFonts w:ascii="Arial" w:hAnsi="Arial" w:cs="Arial"/>
        </w:rPr>
        <w:t>law</w:t>
      </w:r>
    </w:p>
    <w:p w:rsidR="006C0085" w:rsidRPr="00442819" w:rsidRDefault="00442819" w:rsidP="002616DA">
      <w:pPr>
        <w:pStyle w:val="ListParagraph"/>
        <w:numPr>
          <w:ilvl w:val="0"/>
          <w:numId w:val="3"/>
        </w:numPr>
        <w:spacing w:after="120"/>
        <w:ind w:left="426"/>
        <w:rPr>
          <w:rFonts w:ascii="Arial" w:hAnsi="Arial" w:cs="Arial"/>
        </w:rPr>
      </w:pPr>
      <w:r w:rsidRPr="00442819">
        <w:rPr>
          <w:rFonts w:ascii="Arial" w:hAnsi="Arial" w:cs="Arial"/>
        </w:rPr>
        <w:t>Miscarriages</w:t>
      </w:r>
      <w:r w:rsidR="006C0085" w:rsidRPr="00442819">
        <w:rPr>
          <w:rFonts w:ascii="Arial" w:hAnsi="Arial" w:cs="Arial"/>
        </w:rPr>
        <w:t xml:space="preserve"> of</w:t>
      </w:r>
      <w:r w:rsidR="006C0085" w:rsidRPr="00442819">
        <w:rPr>
          <w:rFonts w:ascii="Arial" w:hAnsi="Arial" w:cs="Arial"/>
          <w:spacing w:val="2"/>
        </w:rPr>
        <w:t xml:space="preserve"> </w:t>
      </w:r>
      <w:r w:rsidR="006C0085" w:rsidRPr="00442819">
        <w:rPr>
          <w:rFonts w:ascii="Arial" w:hAnsi="Arial" w:cs="Arial"/>
        </w:rPr>
        <w:t>justice</w:t>
      </w:r>
    </w:p>
    <w:p w:rsidR="006C0085" w:rsidRPr="00442819" w:rsidRDefault="00442819" w:rsidP="002616DA">
      <w:pPr>
        <w:pStyle w:val="ListParagraph"/>
        <w:numPr>
          <w:ilvl w:val="0"/>
          <w:numId w:val="3"/>
        </w:numPr>
        <w:spacing w:after="120"/>
        <w:ind w:left="426"/>
        <w:rPr>
          <w:rFonts w:ascii="Arial" w:hAnsi="Arial" w:cs="Arial"/>
        </w:rPr>
      </w:pPr>
      <w:r w:rsidRPr="00442819">
        <w:rPr>
          <w:rFonts w:ascii="Arial" w:hAnsi="Arial" w:cs="Arial"/>
        </w:rPr>
        <w:t>Endangering</w:t>
      </w:r>
      <w:r w:rsidR="006C0085" w:rsidRPr="00442819">
        <w:rPr>
          <w:rFonts w:ascii="Arial" w:hAnsi="Arial" w:cs="Arial"/>
        </w:rPr>
        <w:t xml:space="preserve"> of someone’s health and safety</w:t>
      </w:r>
      <w:r w:rsidR="00394188">
        <w:rPr>
          <w:rFonts w:ascii="Arial" w:hAnsi="Arial" w:cs="Arial"/>
        </w:rPr>
        <w:t xml:space="preserve"> including safeguarding of children</w:t>
      </w:r>
    </w:p>
    <w:p w:rsidR="006C0085" w:rsidRPr="00442819" w:rsidRDefault="00442819" w:rsidP="002616DA">
      <w:pPr>
        <w:pStyle w:val="ListParagraph"/>
        <w:numPr>
          <w:ilvl w:val="0"/>
          <w:numId w:val="3"/>
        </w:numPr>
        <w:spacing w:after="120"/>
        <w:ind w:left="426"/>
        <w:rPr>
          <w:rFonts w:ascii="Arial" w:hAnsi="Arial" w:cs="Arial"/>
        </w:rPr>
      </w:pPr>
      <w:r w:rsidRPr="00442819">
        <w:rPr>
          <w:rFonts w:ascii="Arial" w:hAnsi="Arial" w:cs="Arial"/>
        </w:rPr>
        <w:t>Damage</w:t>
      </w:r>
      <w:r w:rsidR="006C0085" w:rsidRPr="00442819">
        <w:rPr>
          <w:rFonts w:ascii="Arial" w:hAnsi="Arial" w:cs="Arial"/>
        </w:rPr>
        <w:t xml:space="preserve"> to the environment</w:t>
      </w:r>
    </w:p>
    <w:p w:rsidR="006C0085" w:rsidRPr="00442819" w:rsidRDefault="00442819" w:rsidP="002616DA">
      <w:pPr>
        <w:pStyle w:val="ListParagraph"/>
        <w:numPr>
          <w:ilvl w:val="0"/>
          <w:numId w:val="3"/>
        </w:numPr>
        <w:spacing w:after="120"/>
        <w:ind w:left="426"/>
        <w:rPr>
          <w:rFonts w:ascii="Arial" w:hAnsi="Arial" w:cs="Arial"/>
        </w:rPr>
      </w:pPr>
      <w:r w:rsidRPr="00442819">
        <w:rPr>
          <w:rFonts w:ascii="Arial" w:hAnsi="Arial" w:cs="Arial"/>
        </w:rPr>
        <w:t>Covering</w:t>
      </w:r>
      <w:r w:rsidR="006C0085" w:rsidRPr="00442819">
        <w:rPr>
          <w:rFonts w:ascii="Arial" w:hAnsi="Arial" w:cs="Arial"/>
        </w:rPr>
        <w:t xml:space="preserve"> up wrongdoing in the above</w:t>
      </w:r>
      <w:r w:rsidR="006C0085" w:rsidRPr="00442819">
        <w:rPr>
          <w:rFonts w:ascii="Arial" w:hAnsi="Arial" w:cs="Arial"/>
          <w:spacing w:val="-3"/>
        </w:rPr>
        <w:t xml:space="preserve"> </w:t>
      </w:r>
      <w:r w:rsidR="006C0085" w:rsidRPr="00442819">
        <w:rPr>
          <w:rFonts w:ascii="Arial" w:hAnsi="Arial" w:cs="Arial"/>
        </w:rPr>
        <w:t>categories</w:t>
      </w:r>
    </w:p>
    <w:p w:rsidR="006C0085" w:rsidRDefault="006C0085" w:rsidP="00442819">
      <w:pPr>
        <w:spacing w:after="120"/>
        <w:rPr>
          <w:rFonts w:eastAsiaTheme="minorEastAsia"/>
          <w:lang w:val="en-US"/>
        </w:rPr>
      </w:pPr>
      <w:r w:rsidRPr="006C0085">
        <w:rPr>
          <w:rFonts w:eastAsiaTheme="minorEastAsia"/>
          <w:lang w:val="en-US"/>
        </w:rPr>
        <w:t>Whistleblowing law is located in the Employment Rights Act 1996 (as amended by the Public Interest Disclosure Act 1998</w:t>
      </w:r>
      <w:r w:rsidR="009651B0">
        <w:rPr>
          <w:rFonts w:eastAsiaTheme="minorEastAsia"/>
          <w:lang w:val="en-US"/>
        </w:rPr>
        <w:t>.  This can be seen at http://www,opsi.gov.uk/acts/acts1998</w:t>
      </w:r>
      <w:r w:rsidRPr="006C0085">
        <w:rPr>
          <w:rFonts w:eastAsiaTheme="minorEastAsia"/>
          <w:lang w:val="en-US"/>
        </w:rPr>
        <w:t xml:space="preserve">). It provides the right for a worker to take a case to an employment tribunal if they have been </w:t>
      </w:r>
      <w:r w:rsidR="004B4648">
        <w:rPr>
          <w:rFonts w:eastAsiaTheme="minorEastAsia"/>
          <w:lang w:val="en-US"/>
        </w:rPr>
        <w:t>victimis</w:t>
      </w:r>
      <w:r w:rsidR="00E77C8D">
        <w:rPr>
          <w:rFonts w:eastAsiaTheme="minorEastAsia"/>
          <w:lang w:val="en-US"/>
        </w:rPr>
        <w:t>ed</w:t>
      </w:r>
      <w:r w:rsidRPr="006C0085">
        <w:rPr>
          <w:rFonts w:eastAsiaTheme="minorEastAsia"/>
          <w:lang w:val="en-US"/>
        </w:rPr>
        <w:t xml:space="preserve"> at work or they have lost their</w:t>
      </w:r>
      <w:r w:rsidRPr="006C0085">
        <w:rPr>
          <w:rFonts w:eastAsiaTheme="minorEastAsia"/>
          <w:spacing w:val="-24"/>
          <w:lang w:val="en-US"/>
        </w:rPr>
        <w:t xml:space="preserve"> </w:t>
      </w:r>
      <w:r w:rsidRPr="006C0085">
        <w:rPr>
          <w:rFonts w:eastAsiaTheme="minorEastAsia"/>
          <w:lang w:val="en-US"/>
        </w:rPr>
        <w:t>job</w:t>
      </w:r>
      <w:r w:rsidR="00442819">
        <w:rPr>
          <w:rFonts w:eastAsiaTheme="minorEastAsia"/>
          <w:lang w:val="en-US"/>
        </w:rPr>
        <w:t xml:space="preserve"> because </w:t>
      </w:r>
      <w:r w:rsidRPr="006C0085">
        <w:rPr>
          <w:rFonts w:eastAsiaTheme="minorEastAsia"/>
          <w:lang w:val="en-US"/>
        </w:rPr>
        <w:t>they have ‘blown the whistle’.</w:t>
      </w:r>
    </w:p>
    <w:p w:rsidR="00260761" w:rsidRDefault="00260761" w:rsidP="00442819">
      <w:pPr>
        <w:spacing w:after="120"/>
        <w:rPr>
          <w:rFonts w:eastAsiaTheme="minorEastAsia"/>
          <w:lang w:val="en-US"/>
        </w:rPr>
      </w:pPr>
      <w:r>
        <w:rPr>
          <w:rFonts w:eastAsiaTheme="minorEastAsia"/>
          <w:lang w:val="en-US"/>
        </w:rPr>
        <w:lastRenderedPageBreak/>
        <w:t>The Enterprise and Regulatory Reform Act 2013 (ERRA)</w:t>
      </w:r>
    </w:p>
    <w:p w:rsidR="00260761" w:rsidRDefault="00260761" w:rsidP="00442819">
      <w:pPr>
        <w:spacing w:after="120"/>
        <w:rPr>
          <w:rFonts w:eastAsiaTheme="minorEastAsia"/>
          <w:lang w:val="en-US"/>
        </w:rPr>
      </w:pPr>
      <w:r>
        <w:rPr>
          <w:rFonts w:eastAsiaTheme="minorEastAsia"/>
          <w:lang w:val="en-US"/>
        </w:rPr>
        <w:t>This came into force on 25 June 2013 and introduced a number of changes to Whistleblowing legislation.  A worker will be eligible for protection if they honestly think what they’re reporting is true and they think they’re telling the right person.  From 25 June 2013, the new law says that a whistleblower should also believe that their disclosure is in the public interest.</w:t>
      </w:r>
    </w:p>
    <w:p w:rsidR="00A6412A" w:rsidRPr="006C0085" w:rsidRDefault="00A6412A" w:rsidP="00442819">
      <w:pPr>
        <w:spacing w:after="120"/>
        <w:rPr>
          <w:rFonts w:eastAsiaTheme="minorEastAsia"/>
          <w:lang w:val="en-US"/>
        </w:rPr>
      </w:pPr>
      <w:r>
        <w:rPr>
          <w:rFonts w:eastAsiaTheme="minorEastAsia"/>
          <w:lang w:val="en-US"/>
        </w:rPr>
        <w:t>The Whistleblowing procedure must always be applied fairly and in accordance with employment law and the REAch2 Equal Opportunities Policy.</w:t>
      </w:r>
    </w:p>
    <w:p w:rsidR="00442819" w:rsidRDefault="00442819" w:rsidP="00442819">
      <w:pPr>
        <w:pStyle w:val="Heading1"/>
      </w:pPr>
      <w:r>
        <w:t>The Trust’s commitments to employees who whistle-blow</w:t>
      </w:r>
    </w:p>
    <w:p w:rsidR="00E77C8D" w:rsidRPr="00E77C8D" w:rsidRDefault="00E77C8D" w:rsidP="002616DA">
      <w:pPr>
        <w:pStyle w:val="ListParagraph"/>
        <w:numPr>
          <w:ilvl w:val="0"/>
          <w:numId w:val="4"/>
        </w:numPr>
        <w:spacing w:before="120" w:after="120"/>
        <w:ind w:left="426" w:hanging="357"/>
      </w:pPr>
      <w:r>
        <w:rPr>
          <w:rFonts w:ascii="Arial" w:hAnsi="Arial" w:cs="Arial"/>
        </w:rPr>
        <w:t>REAch2 Academy Trust considers it a professional duty for employees to make a disclosure where they are aware of or strongly suspect wrongdoing.</w:t>
      </w:r>
    </w:p>
    <w:p w:rsidR="00E77C8D" w:rsidRPr="00E77C8D" w:rsidRDefault="00E77C8D" w:rsidP="002616DA">
      <w:pPr>
        <w:pStyle w:val="ListParagraph"/>
        <w:numPr>
          <w:ilvl w:val="0"/>
          <w:numId w:val="4"/>
        </w:numPr>
        <w:spacing w:before="120" w:after="120"/>
        <w:ind w:left="426" w:hanging="357"/>
      </w:pPr>
      <w:r>
        <w:rPr>
          <w:rFonts w:ascii="Arial" w:hAnsi="Arial" w:cs="Arial"/>
        </w:rPr>
        <w:t>Employees who make a disclosure (‘blow the whistle’) will be fully supported and protected by the Trust.</w:t>
      </w:r>
    </w:p>
    <w:p w:rsidR="00E77C8D" w:rsidRPr="006D1996" w:rsidRDefault="00E77C8D" w:rsidP="002616DA">
      <w:pPr>
        <w:pStyle w:val="ListParagraph"/>
        <w:numPr>
          <w:ilvl w:val="0"/>
          <w:numId w:val="4"/>
        </w:numPr>
        <w:spacing w:before="120" w:after="120"/>
        <w:ind w:left="426" w:hanging="357"/>
      </w:pPr>
      <w:r>
        <w:rPr>
          <w:rFonts w:ascii="Arial" w:hAnsi="Arial" w:cs="Arial"/>
        </w:rPr>
        <w:t>The Trust will treat all disclosures in a consistent and fair way.</w:t>
      </w:r>
    </w:p>
    <w:p w:rsidR="006D1996" w:rsidRPr="00025A50" w:rsidRDefault="006D1996" w:rsidP="002616DA">
      <w:pPr>
        <w:pStyle w:val="ListParagraph"/>
        <w:numPr>
          <w:ilvl w:val="0"/>
          <w:numId w:val="4"/>
        </w:numPr>
        <w:spacing w:before="120" w:after="120"/>
        <w:ind w:left="426" w:hanging="357"/>
      </w:pPr>
      <w:r>
        <w:rPr>
          <w:rFonts w:ascii="Arial" w:hAnsi="Arial" w:cs="Arial"/>
        </w:rPr>
        <w:t>Victimisation or intimidation of a whistleblower will not be tolerated in the Trust and would be considered a gross misconduct.  Any perceived victimization or intimidation of a</w:t>
      </w:r>
      <w:r w:rsidR="004E3929">
        <w:rPr>
          <w:rFonts w:ascii="Arial" w:hAnsi="Arial" w:cs="Arial"/>
        </w:rPr>
        <w:t>n</w:t>
      </w:r>
      <w:r>
        <w:rPr>
          <w:rFonts w:ascii="Arial" w:hAnsi="Arial" w:cs="Arial"/>
        </w:rPr>
        <w:t xml:space="preserve"> </w:t>
      </w:r>
      <w:r w:rsidR="004E3929">
        <w:rPr>
          <w:rFonts w:ascii="Arial" w:hAnsi="Arial" w:cs="Arial"/>
        </w:rPr>
        <w:t>employee making a disclosure</w:t>
      </w:r>
      <w:r>
        <w:rPr>
          <w:rFonts w:ascii="Arial" w:hAnsi="Arial" w:cs="Arial"/>
        </w:rPr>
        <w:t xml:space="preserve"> will be formally investigated as a potential disciplinary </w:t>
      </w:r>
      <w:r w:rsidR="00025A50">
        <w:rPr>
          <w:rFonts w:ascii="Arial" w:hAnsi="Arial" w:cs="Arial"/>
        </w:rPr>
        <w:t>matter</w:t>
      </w:r>
      <w:r>
        <w:rPr>
          <w:rFonts w:ascii="Arial" w:hAnsi="Arial" w:cs="Arial"/>
        </w:rPr>
        <w:t>.</w:t>
      </w:r>
    </w:p>
    <w:p w:rsidR="004E3929" w:rsidRPr="004E3929" w:rsidRDefault="004E3929" w:rsidP="002616DA">
      <w:pPr>
        <w:pStyle w:val="ListParagraph"/>
        <w:numPr>
          <w:ilvl w:val="0"/>
          <w:numId w:val="4"/>
        </w:numPr>
        <w:spacing w:before="120" w:after="120"/>
        <w:ind w:left="426" w:hanging="357"/>
      </w:pPr>
      <w:r>
        <w:rPr>
          <w:rFonts w:ascii="Arial" w:hAnsi="Arial" w:cs="Arial"/>
        </w:rPr>
        <w:t>Employees making a disclosure are entitled to seek the advice and support of their Trade Union or professional association if they wish.</w:t>
      </w:r>
    </w:p>
    <w:p w:rsidR="004E3929" w:rsidRPr="004E3929" w:rsidRDefault="003304DD" w:rsidP="002616DA">
      <w:pPr>
        <w:pStyle w:val="ListParagraph"/>
        <w:numPr>
          <w:ilvl w:val="0"/>
          <w:numId w:val="4"/>
        </w:numPr>
        <w:spacing w:before="120" w:after="120"/>
        <w:ind w:left="426" w:hanging="357"/>
      </w:pPr>
      <w:r w:rsidRPr="00087025">
        <w:rPr>
          <w:rFonts w:ascii="Arial" w:hAnsi="Arial" w:cs="Arial"/>
        </w:rPr>
        <w:t>Subject to the Trust’s Data protection obligations, e</w:t>
      </w:r>
      <w:r w:rsidR="004E3929" w:rsidRPr="00087025">
        <w:rPr>
          <w:rFonts w:ascii="Arial" w:hAnsi="Arial" w:cs="Arial"/>
        </w:rPr>
        <w:t xml:space="preserve">mployees </w:t>
      </w:r>
      <w:r w:rsidR="004E3929">
        <w:rPr>
          <w:rFonts w:ascii="Arial" w:hAnsi="Arial" w:cs="Arial"/>
        </w:rPr>
        <w:t>making a disclosure will receive feedback about the outcome of their disclosure.</w:t>
      </w:r>
    </w:p>
    <w:p w:rsidR="004E3929" w:rsidRPr="00AE5D2D" w:rsidRDefault="004E3929" w:rsidP="002616DA">
      <w:pPr>
        <w:pStyle w:val="ListParagraph"/>
        <w:numPr>
          <w:ilvl w:val="0"/>
          <w:numId w:val="4"/>
        </w:numPr>
        <w:spacing w:before="120" w:after="120"/>
        <w:ind w:left="426" w:hanging="357"/>
      </w:pPr>
      <w:r>
        <w:rPr>
          <w:rFonts w:ascii="Arial" w:hAnsi="Arial" w:cs="Arial"/>
        </w:rPr>
        <w:t>All cases of whistleblowing will be brought to the attention of the Trust’s Internal Audit</w:t>
      </w:r>
      <w:r w:rsidR="002616DA">
        <w:rPr>
          <w:rFonts w:ascii="Arial" w:hAnsi="Arial" w:cs="Arial"/>
        </w:rPr>
        <w:t>or</w:t>
      </w:r>
      <w:r>
        <w:rPr>
          <w:rFonts w:ascii="Arial" w:hAnsi="Arial" w:cs="Arial"/>
        </w:rPr>
        <w:t xml:space="preserve"> and the Trustees who sit on the Trust’s </w:t>
      </w:r>
      <w:r w:rsidR="00866A33">
        <w:rPr>
          <w:rFonts w:ascii="Arial" w:hAnsi="Arial" w:cs="Arial"/>
        </w:rPr>
        <w:t xml:space="preserve">Risk and </w:t>
      </w:r>
      <w:r>
        <w:rPr>
          <w:rFonts w:ascii="Arial" w:hAnsi="Arial" w:cs="Arial"/>
        </w:rPr>
        <w:t>Audit Committee.</w:t>
      </w:r>
    </w:p>
    <w:p w:rsidR="00AE5D2D" w:rsidRDefault="00AE5D2D" w:rsidP="002616DA">
      <w:pPr>
        <w:spacing w:before="0" w:after="0"/>
        <w:ind w:left="426"/>
      </w:pPr>
      <w:r>
        <w:br w:type="page"/>
      </w:r>
    </w:p>
    <w:p w:rsidR="00AE5D2D" w:rsidRDefault="00AE5D2D" w:rsidP="00AE5D2D">
      <w:pPr>
        <w:pStyle w:val="Heading1"/>
      </w:pPr>
      <w:r>
        <w:lastRenderedPageBreak/>
        <w:t>Whistleblowing Procedures</w:t>
      </w:r>
    </w:p>
    <w:p w:rsidR="00AE5D2D" w:rsidRDefault="00F27AFF" w:rsidP="00F27AFF">
      <w:pPr>
        <w:spacing w:after="120"/>
        <w:rPr>
          <w:b/>
        </w:rPr>
      </w:pPr>
      <w:r w:rsidRPr="00F27AFF">
        <w:rPr>
          <w:b/>
        </w:rPr>
        <w:t>Making the disclosure</w:t>
      </w:r>
      <w:r w:rsidR="002A6116">
        <w:rPr>
          <w:b/>
        </w:rPr>
        <w:t xml:space="preserve"> as an employee</w:t>
      </w:r>
    </w:p>
    <w:p w:rsidR="006C09B1" w:rsidRDefault="006C09B1" w:rsidP="002616DA">
      <w:pPr>
        <w:pStyle w:val="ListParagraph"/>
        <w:numPr>
          <w:ilvl w:val="0"/>
          <w:numId w:val="10"/>
        </w:numPr>
        <w:spacing w:after="120"/>
        <w:ind w:left="426"/>
        <w:rPr>
          <w:b/>
        </w:rPr>
      </w:pPr>
      <w:r w:rsidRPr="00FD2FCB">
        <w:rPr>
          <w:b/>
        </w:rPr>
        <w:t>Who should an employee disclose to?</w:t>
      </w:r>
    </w:p>
    <w:p w:rsidR="00FD2FCB" w:rsidRDefault="00FD2FCB" w:rsidP="002616DA">
      <w:pPr>
        <w:pStyle w:val="ListParagraph"/>
        <w:numPr>
          <w:ilvl w:val="1"/>
          <w:numId w:val="10"/>
        </w:numPr>
        <w:spacing w:before="120" w:after="120"/>
        <w:ind w:left="851"/>
        <w:rPr>
          <w:rFonts w:ascii="Arial" w:hAnsi="Arial" w:cs="Arial"/>
        </w:rPr>
      </w:pPr>
      <w:r w:rsidRPr="00F27AFF">
        <w:rPr>
          <w:rFonts w:ascii="Arial" w:hAnsi="Arial" w:cs="Arial"/>
        </w:rPr>
        <w:t xml:space="preserve">Employees </w:t>
      </w:r>
      <w:r w:rsidR="00002438">
        <w:rPr>
          <w:rFonts w:ascii="Arial" w:hAnsi="Arial" w:cs="Arial"/>
        </w:rPr>
        <w:t xml:space="preserve">or volunteers </w:t>
      </w:r>
      <w:r w:rsidRPr="00F27AFF">
        <w:rPr>
          <w:rFonts w:ascii="Arial" w:hAnsi="Arial" w:cs="Arial"/>
        </w:rPr>
        <w:t>based in a school should make their disclosure to the Headteacher or Deputy Headteacher</w:t>
      </w:r>
      <w:r>
        <w:rPr>
          <w:rFonts w:ascii="Arial" w:hAnsi="Arial" w:cs="Arial"/>
        </w:rPr>
        <w:t xml:space="preserve"> who will determine if they can take the disclosure forward or need to escalate it to a more senior level</w:t>
      </w:r>
      <w:r w:rsidRPr="00F27AFF">
        <w:rPr>
          <w:rFonts w:ascii="Arial" w:hAnsi="Arial" w:cs="Arial"/>
        </w:rPr>
        <w:t>.</w:t>
      </w:r>
      <w:r w:rsidR="005138B0">
        <w:rPr>
          <w:rFonts w:ascii="Arial" w:hAnsi="Arial" w:cs="Arial"/>
        </w:rPr>
        <w:t xml:space="preserve">  If a governor has a disclosure to make about another governor, they should make this to the chair of governors; if the disclosure concerns the chair of governors, it should be made to the Headteacher.</w:t>
      </w:r>
    </w:p>
    <w:p w:rsidR="00FD2FCB" w:rsidRDefault="00FD2FCB" w:rsidP="002616DA">
      <w:pPr>
        <w:pStyle w:val="ListParagraph"/>
        <w:numPr>
          <w:ilvl w:val="1"/>
          <w:numId w:val="10"/>
        </w:numPr>
        <w:spacing w:before="120" w:after="120"/>
        <w:ind w:left="851"/>
        <w:rPr>
          <w:rFonts w:ascii="Arial" w:hAnsi="Arial" w:cs="Arial"/>
        </w:rPr>
      </w:pPr>
      <w:r>
        <w:rPr>
          <w:rFonts w:ascii="Arial" w:hAnsi="Arial" w:cs="Arial"/>
        </w:rPr>
        <w:t>Employees centrally employed by the Trust should make their disclosure to their line manager who will determine if they can take the disclosure forward or need to escalate it to a more senior level.</w:t>
      </w:r>
    </w:p>
    <w:p w:rsidR="00FD2FCB" w:rsidRDefault="00FD2FCB" w:rsidP="002616DA">
      <w:pPr>
        <w:pStyle w:val="ListParagraph"/>
        <w:numPr>
          <w:ilvl w:val="1"/>
          <w:numId w:val="10"/>
        </w:numPr>
        <w:spacing w:before="120" w:after="120"/>
        <w:ind w:left="851"/>
        <w:rPr>
          <w:rFonts w:ascii="Arial" w:hAnsi="Arial" w:cs="Arial"/>
        </w:rPr>
      </w:pPr>
      <w:r>
        <w:rPr>
          <w:rFonts w:ascii="Arial" w:hAnsi="Arial" w:cs="Arial"/>
        </w:rPr>
        <w:t xml:space="preserve">If an employee has concerns about making the disclosure to their Headteacher / Deputy Headteacher or line manager, for whatever reason, then they may make a disclosure to the </w:t>
      </w:r>
      <w:r w:rsidR="002616DA">
        <w:rPr>
          <w:rFonts w:ascii="Arial" w:hAnsi="Arial" w:cs="Arial"/>
        </w:rPr>
        <w:t>Internal Auditor</w:t>
      </w:r>
      <w:r>
        <w:rPr>
          <w:rFonts w:ascii="Arial" w:hAnsi="Arial" w:cs="Arial"/>
        </w:rPr>
        <w:t xml:space="preserve"> who will identify the appropriate professional to take the matter forward.</w:t>
      </w:r>
    </w:p>
    <w:p w:rsidR="00FD2FCB" w:rsidRDefault="00FD2FCB" w:rsidP="002616DA">
      <w:pPr>
        <w:pStyle w:val="ListParagraph"/>
        <w:numPr>
          <w:ilvl w:val="1"/>
          <w:numId w:val="10"/>
        </w:numPr>
        <w:spacing w:before="120" w:after="120"/>
        <w:ind w:left="851"/>
        <w:rPr>
          <w:rFonts w:ascii="Arial" w:hAnsi="Arial" w:cs="Arial"/>
        </w:rPr>
      </w:pPr>
      <w:r>
        <w:rPr>
          <w:rFonts w:ascii="Arial" w:hAnsi="Arial" w:cs="Arial"/>
        </w:rPr>
        <w:t>An employee may wish to take advice from their Trade Union or professional association before deciding whom to disclose to but there is no requirement to do this.</w:t>
      </w:r>
    </w:p>
    <w:p w:rsidR="00FD2FCB" w:rsidRPr="00087025" w:rsidRDefault="003304DD" w:rsidP="002616DA">
      <w:pPr>
        <w:pStyle w:val="ListParagraph"/>
        <w:numPr>
          <w:ilvl w:val="1"/>
          <w:numId w:val="10"/>
        </w:numPr>
        <w:spacing w:after="120"/>
        <w:ind w:left="851"/>
        <w:rPr>
          <w:b/>
        </w:rPr>
      </w:pPr>
      <w:r w:rsidRPr="00087025">
        <w:rPr>
          <w:rFonts w:ascii="Arial" w:hAnsi="Arial" w:cs="Arial"/>
        </w:rPr>
        <w:t xml:space="preserve">Even where extreme circumstances are thought to exist, </w:t>
      </w:r>
      <w:r w:rsidR="00A6412A">
        <w:rPr>
          <w:rFonts w:ascii="Arial" w:hAnsi="Arial" w:cs="Arial"/>
        </w:rPr>
        <w:t xml:space="preserve">an employee </w:t>
      </w:r>
      <w:r w:rsidRPr="00087025">
        <w:rPr>
          <w:rFonts w:ascii="Arial" w:hAnsi="Arial" w:cs="Arial"/>
        </w:rPr>
        <w:t>should not approach the media with details of the suspected wrongdoing.  If</w:t>
      </w:r>
      <w:r w:rsidR="00A6412A">
        <w:rPr>
          <w:rFonts w:ascii="Arial" w:hAnsi="Arial" w:cs="Arial"/>
        </w:rPr>
        <w:t xml:space="preserve"> they </w:t>
      </w:r>
      <w:r w:rsidRPr="00087025">
        <w:rPr>
          <w:rFonts w:ascii="Arial" w:hAnsi="Arial" w:cs="Arial"/>
        </w:rPr>
        <w:t>do so, the Trust may consider this to be gross misconduct and disciplinary action may be taken against</w:t>
      </w:r>
      <w:r w:rsidR="00A6412A">
        <w:rPr>
          <w:rFonts w:ascii="Arial" w:hAnsi="Arial" w:cs="Arial"/>
        </w:rPr>
        <w:t xml:space="preserve"> them</w:t>
      </w:r>
      <w:r w:rsidRPr="00087025">
        <w:rPr>
          <w:rFonts w:ascii="Arial" w:hAnsi="Arial" w:cs="Arial"/>
        </w:rPr>
        <w:t xml:space="preserve">.  </w:t>
      </w:r>
    </w:p>
    <w:p w:rsidR="00793161" w:rsidRDefault="00FD2FCB" w:rsidP="00FD2FCB">
      <w:pPr>
        <w:pStyle w:val="ListParagraph"/>
        <w:numPr>
          <w:ilvl w:val="0"/>
          <w:numId w:val="10"/>
        </w:numPr>
        <w:spacing w:after="120"/>
        <w:rPr>
          <w:b/>
        </w:rPr>
      </w:pPr>
      <w:r>
        <w:rPr>
          <w:b/>
        </w:rPr>
        <w:t xml:space="preserve">What information should </w:t>
      </w:r>
      <w:r w:rsidR="00A6412A">
        <w:rPr>
          <w:b/>
        </w:rPr>
        <w:t xml:space="preserve">the employee </w:t>
      </w:r>
      <w:r>
        <w:rPr>
          <w:b/>
        </w:rPr>
        <w:t xml:space="preserve">provide with </w:t>
      </w:r>
      <w:r w:rsidR="00A6412A">
        <w:rPr>
          <w:b/>
        </w:rPr>
        <w:t xml:space="preserve">their </w:t>
      </w:r>
      <w:r>
        <w:rPr>
          <w:b/>
        </w:rPr>
        <w:t>disclosure?</w:t>
      </w:r>
    </w:p>
    <w:p w:rsidR="00E97BB6" w:rsidRPr="004E2FD1" w:rsidRDefault="004E2FD1" w:rsidP="002616DA">
      <w:pPr>
        <w:pStyle w:val="ListParagraph"/>
        <w:numPr>
          <w:ilvl w:val="1"/>
          <w:numId w:val="10"/>
        </w:numPr>
        <w:spacing w:after="120"/>
        <w:ind w:left="1134"/>
        <w:rPr>
          <w:b/>
        </w:rPr>
      </w:pPr>
      <w:r>
        <w:t xml:space="preserve">In making a disclosure </w:t>
      </w:r>
      <w:r w:rsidR="00A6412A">
        <w:t xml:space="preserve">an employee </w:t>
      </w:r>
      <w:r>
        <w:t>need</w:t>
      </w:r>
      <w:r w:rsidR="00A6412A">
        <w:t>s</w:t>
      </w:r>
      <w:r>
        <w:t xml:space="preserve"> to be clear about why </w:t>
      </w:r>
      <w:r w:rsidR="00A6412A">
        <w:t xml:space="preserve">they </w:t>
      </w:r>
      <w:r>
        <w:t xml:space="preserve">think wrongdoing has occurred or is occurring or is going to occur.  </w:t>
      </w:r>
    </w:p>
    <w:p w:rsidR="004E2FD1" w:rsidRPr="004E2FD1" w:rsidRDefault="004E2FD1" w:rsidP="002616DA">
      <w:pPr>
        <w:pStyle w:val="ListParagraph"/>
        <w:numPr>
          <w:ilvl w:val="1"/>
          <w:numId w:val="10"/>
        </w:numPr>
        <w:spacing w:after="120"/>
        <w:ind w:left="1134"/>
        <w:rPr>
          <w:b/>
        </w:rPr>
      </w:pPr>
      <w:r>
        <w:t xml:space="preserve">If </w:t>
      </w:r>
      <w:r w:rsidR="00A6412A">
        <w:t xml:space="preserve">the employee </w:t>
      </w:r>
      <w:r>
        <w:t>ha</w:t>
      </w:r>
      <w:r w:rsidR="00A6412A">
        <w:t>s</w:t>
      </w:r>
      <w:r>
        <w:t xml:space="preserve"> evidence to support </w:t>
      </w:r>
      <w:r w:rsidR="00A6412A">
        <w:t>their</w:t>
      </w:r>
      <w:r>
        <w:t xml:space="preserve"> disclosure </w:t>
      </w:r>
      <w:r w:rsidR="00A6412A">
        <w:t xml:space="preserve">they should </w:t>
      </w:r>
      <w:r>
        <w:t>have it available.</w:t>
      </w:r>
    </w:p>
    <w:p w:rsidR="004E2FD1" w:rsidRPr="00AC3A4D" w:rsidRDefault="004E2FD1" w:rsidP="002616DA">
      <w:pPr>
        <w:pStyle w:val="ListParagraph"/>
        <w:numPr>
          <w:ilvl w:val="1"/>
          <w:numId w:val="10"/>
        </w:numPr>
        <w:spacing w:after="120"/>
        <w:ind w:left="1134"/>
        <w:rPr>
          <w:b/>
        </w:rPr>
      </w:pPr>
      <w:r>
        <w:t xml:space="preserve">If </w:t>
      </w:r>
      <w:r w:rsidR="00A6412A">
        <w:t xml:space="preserve">the employee </w:t>
      </w:r>
      <w:r>
        <w:t>do</w:t>
      </w:r>
      <w:r w:rsidR="00A6412A">
        <w:t>es</w:t>
      </w:r>
      <w:r>
        <w:t xml:space="preserve"> not have evidence to support </w:t>
      </w:r>
      <w:r w:rsidR="00A6412A">
        <w:t>their</w:t>
      </w:r>
      <w:r>
        <w:t xml:space="preserve"> disclosure but still suspect that there may have been wrongdoing that is fine.  </w:t>
      </w:r>
      <w:r w:rsidR="00A6412A">
        <w:t>They must b</w:t>
      </w:r>
      <w:r>
        <w:t xml:space="preserve">e clear about why </w:t>
      </w:r>
      <w:r w:rsidR="00A6412A">
        <w:t xml:space="preserve">they </w:t>
      </w:r>
      <w:r>
        <w:t>suspect that wrongdoing has occurred or is occurring.</w:t>
      </w:r>
    </w:p>
    <w:p w:rsidR="00FD2FCB" w:rsidRDefault="00E97BB6" w:rsidP="00FD2FCB">
      <w:pPr>
        <w:pStyle w:val="ListParagraph"/>
        <w:numPr>
          <w:ilvl w:val="0"/>
          <w:numId w:val="10"/>
        </w:numPr>
        <w:spacing w:after="120"/>
        <w:rPr>
          <w:b/>
        </w:rPr>
      </w:pPr>
      <w:r>
        <w:rPr>
          <w:b/>
        </w:rPr>
        <w:t>Can a disclosure be anonymous?</w:t>
      </w:r>
    </w:p>
    <w:p w:rsidR="004E2FD1" w:rsidRPr="00F13D39" w:rsidRDefault="00AC3A4D" w:rsidP="002616DA">
      <w:pPr>
        <w:pStyle w:val="ListParagraph"/>
        <w:numPr>
          <w:ilvl w:val="1"/>
          <w:numId w:val="10"/>
        </w:numPr>
        <w:spacing w:after="120"/>
        <w:ind w:left="1134"/>
        <w:rPr>
          <w:b/>
        </w:rPr>
      </w:pPr>
      <w:r>
        <w:t xml:space="preserve">Disclosures can be made anonymously.  However, it is much more difficult to investigate anonymous disclosures and of course it will not be possible to provide feedback to </w:t>
      </w:r>
      <w:r w:rsidR="00656AD9">
        <w:t>such a</w:t>
      </w:r>
      <w:r>
        <w:t xml:space="preserve"> whistleblower.</w:t>
      </w:r>
    </w:p>
    <w:p w:rsidR="00F13D39" w:rsidRDefault="00F13D39" w:rsidP="00F13D39">
      <w:pPr>
        <w:spacing w:after="120"/>
        <w:ind w:left="360"/>
        <w:rPr>
          <w:b/>
        </w:rPr>
      </w:pPr>
      <w:r>
        <w:rPr>
          <w:b/>
        </w:rPr>
        <w:lastRenderedPageBreak/>
        <w:t>Managing a Disclosure</w:t>
      </w:r>
      <w:r w:rsidR="001E2D04">
        <w:rPr>
          <w:b/>
        </w:rPr>
        <w:t xml:space="preserve"> as a M</w:t>
      </w:r>
      <w:r w:rsidR="002A6116">
        <w:rPr>
          <w:b/>
        </w:rPr>
        <w:t>anager</w:t>
      </w:r>
    </w:p>
    <w:p w:rsidR="00F13D39" w:rsidRDefault="002A6116" w:rsidP="002A6116">
      <w:pPr>
        <w:pStyle w:val="ListParagraph"/>
        <w:numPr>
          <w:ilvl w:val="0"/>
          <w:numId w:val="10"/>
        </w:numPr>
        <w:spacing w:after="120"/>
        <w:rPr>
          <w:b/>
        </w:rPr>
      </w:pPr>
      <w:r>
        <w:rPr>
          <w:b/>
        </w:rPr>
        <w:t>Receiving a disclosure.</w:t>
      </w:r>
    </w:p>
    <w:p w:rsidR="002A6116" w:rsidRPr="00E25538" w:rsidRDefault="002A6116" w:rsidP="002616DA">
      <w:pPr>
        <w:pStyle w:val="ListParagraph"/>
        <w:numPr>
          <w:ilvl w:val="1"/>
          <w:numId w:val="10"/>
        </w:numPr>
        <w:spacing w:after="120"/>
        <w:ind w:left="1134"/>
        <w:rPr>
          <w:b/>
        </w:rPr>
      </w:pPr>
      <w:r>
        <w:t xml:space="preserve">If a colleague informs </w:t>
      </w:r>
      <w:r w:rsidR="007B7043">
        <w:t xml:space="preserve">their manager </w:t>
      </w:r>
      <w:r>
        <w:t xml:space="preserve">that they wish to disclose a concern or </w:t>
      </w:r>
      <w:r w:rsidR="00E25538">
        <w:t xml:space="preserve">a </w:t>
      </w:r>
      <w:r>
        <w:t xml:space="preserve">suspicion </w:t>
      </w:r>
      <w:r w:rsidR="00E25538">
        <w:t>of wrongdoing that may constitute whistleblowing</w:t>
      </w:r>
      <w:r w:rsidR="00866A33">
        <w:t>,</w:t>
      </w:r>
      <w:r w:rsidR="00E25538">
        <w:t xml:space="preserve"> then the issue must be dealt</w:t>
      </w:r>
      <w:r w:rsidR="007B5626">
        <w:t xml:space="preserve"> with seriously and sensitively</w:t>
      </w:r>
      <w:r w:rsidR="00E25538">
        <w:t>.</w:t>
      </w:r>
    </w:p>
    <w:p w:rsidR="00E25538" w:rsidRPr="00E25538" w:rsidRDefault="00E25538" w:rsidP="002616DA">
      <w:pPr>
        <w:pStyle w:val="ListParagraph"/>
        <w:numPr>
          <w:ilvl w:val="1"/>
          <w:numId w:val="10"/>
        </w:numPr>
        <w:spacing w:after="120"/>
        <w:ind w:left="1134"/>
        <w:rPr>
          <w:b/>
        </w:rPr>
      </w:pPr>
      <w:r>
        <w:t xml:space="preserve">It is important that whistleblowing disclosures are dealt with in a consistent manner.  </w:t>
      </w:r>
      <w:r w:rsidR="007B7043">
        <w:t>Managers should p</w:t>
      </w:r>
      <w:r>
        <w:t>rovide the whistleblower with a copy of this policy</w:t>
      </w:r>
      <w:r w:rsidR="00002438">
        <w:t xml:space="preserve"> which is also available on the REAch2 website</w:t>
      </w:r>
      <w:r>
        <w:t>.</w:t>
      </w:r>
    </w:p>
    <w:p w:rsidR="00E25538" w:rsidRPr="00310071" w:rsidRDefault="00E25538" w:rsidP="002616DA">
      <w:pPr>
        <w:pStyle w:val="ListParagraph"/>
        <w:numPr>
          <w:ilvl w:val="1"/>
          <w:numId w:val="10"/>
        </w:numPr>
        <w:spacing w:after="120"/>
        <w:ind w:left="1134"/>
        <w:rPr>
          <w:b/>
        </w:rPr>
      </w:pPr>
      <w:r>
        <w:t>Reassure the whistleblower that their disclosure will not affect their position at work.</w:t>
      </w:r>
    </w:p>
    <w:p w:rsidR="007B5626" w:rsidRPr="007B5626" w:rsidRDefault="00310071" w:rsidP="002616DA">
      <w:pPr>
        <w:pStyle w:val="ListParagraph"/>
        <w:numPr>
          <w:ilvl w:val="1"/>
          <w:numId w:val="10"/>
        </w:numPr>
        <w:spacing w:after="120"/>
        <w:ind w:left="1134"/>
        <w:rPr>
          <w:b/>
        </w:rPr>
      </w:pPr>
      <w:r>
        <w:t>This may be a difficult or anxious time for the whistleblower, they must be reassured that they will be protected and supported by the Trust.  If they are a member of a Trade Union or professional association they need to be told that they may take advice before proceeding but they don’t have to.  They are doing nothing wrong.</w:t>
      </w:r>
    </w:p>
    <w:p w:rsidR="004601A1" w:rsidRPr="007B5626" w:rsidRDefault="004601A1" w:rsidP="002616DA">
      <w:pPr>
        <w:pStyle w:val="ListParagraph"/>
        <w:numPr>
          <w:ilvl w:val="1"/>
          <w:numId w:val="10"/>
        </w:numPr>
        <w:spacing w:after="120"/>
        <w:ind w:left="1134"/>
        <w:rPr>
          <w:b/>
        </w:rPr>
      </w:pPr>
      <w:r>
        <w:t xml:space="preserve">At this point </w:t>
      </w:r>
      <w:r w:rsidR="007B7043">
        <w:t xml:space="preserve">the manager should </w:t>
      </w:r>
      <w:r>
        <w:t xml:space="preserve">ask for an outline of the concerns to help </w:t>
      </w:r>
      <w:r w:rsidR="007B7043">
        <w:t>them</w:t>
      </w:r>
      <w:r>
        <w:t xml:space="preserve"> ascertain how urgent the matter is and whether it needs to be escalated to a more senior level immediately.  If the matter needs to be escalated then </w:t>
      </w:r>
      <w:r w:rsidR="007B7043">
        <w:t xml:space="preserve">the manager should </w:t>
      </w:r>
      <w:r>
        <w:t>do so immediately</w:t>
      </w:r>
      <w:r w:rsidR="00E95497">
        <w:t xml:space="preserve">.  </w:t>
      </w:r>
    </w:p>
    <w:p w:rsidR="007B5626" w:rsidRPr="00310071" w:rsidRDefault="00260761" w:rsidP="002616DA">
      <w:pPr>
        <w:pStyle w:val="ListParagraph"/>
        <w:numPr>
          <w:ilvl w:val="1"/>
          <w:numId w:val="10"/>
        </w:numPr>
        <w:spacing w:after="120"/>
        <w:ind w:left="1134"/>
        <w:rPr>
          <w:b/>
        </w:rPr>
      </w:pPr>
      <w:r>
        <w:t>The manager should c</w:t>
      </w:r>
      <w:r w:rsidR="007B5626">
        <w:t xml:space="preserve">ontact the Regional HR Consultant </w:t>
      </w:r>
      <w:r w:rsidR="00F637E5">
        <w:t xml:space="preserve">or </w:t>
      </w:r>
      <w:r w:rsidR="00413625">
        <w:t>Director</w:t>
      </w:r>
      <w:r w:rsidR="00F637E5">
        <w:t xml:space="preserve"> of HR </w:t>
      </w:r>
      <w:r w:rsidR="007B5626">
        <w:t>immediately for support and advice.</w:t>
      </w:r>
    </w:p>
    <w:p w:rsidR="009A0F19" w:rsidRPr="009A0F19" w:rsidRDefault="00260761" w:rsidP="002616DA">
      <w:pPr>
        <w:pStyle w:val="ListParagraph"/>
        <w:numPr>
          <w:ilvl w:val="1"/>
          <w:numId w:val="10"/>
        </w:numPr>
        <w:spacing w:after="120"/>
        <w:ind w:left="1134"/>
      </w:pPr>
      <w:r>
        <w:t>The manager should c</w:t>
      </w:r>
      <w:r w:rsidR="009A0F19" w:rsidRPr="009A0F19">
        <w:t xml:space="preserve">onsider </w:t>
      </w:r>
      <w:r w:rsidR="009A0F19">
        <w:t>whether the nature of the disclosure in outline is likely to meet the test of whistleblowing rather than personal grievance:  the concern is in the public interest; that it relates to potential wrongdoing that meets the test of whistleblowing.</w:t>
      </w:r>
    </w:p>
    <w:p w:rsidR="00310071" w:rsidRPr="004601A1" w:rsidRDefault="00260761" w:rsidP="002616DA">
      <w:pPr>
        <w:pStyle w:val="ListParagraph"/>
        <w:numPr>
          <w:ilvl w:val="1"/>
          <w:numId w:val="10"/>
        </w:numPr>
        <w:spacing w:after="120"/>
        <w:ind w:left="1134"/>
        <w:rPr>
          <w:b/>
        </w:rPr>
      </w:pPr>
      <w:r>
        <w:t>The manager should a</w:t>
      </w:r>
      <w:r w:rsidR="00310071">
        <w:t xml:space="preserve">rrange a time for a formal meeting at which </w:t>
      </w:r>
      <w:r>
        <w:t xml:space="preserve">they </w:t>
      </w:r>
      <w:r w:rsidR="00310071">
        <w:t xml:space="preserve">will want to gather all of the information to better understand the situation.  The meeting should be held as soon as is reasonably possible.  </w:t>
      </w:r>
      <w:r w:rsidR="00E95497">
        <w:t>The whistleblower is entitled to have a Trade Union or professional association representative accompany them at the meeting.</w:t>
      </w:r>
    </w:p>
    <w:p w:rsidR="004601A1" w:rsidRPr="00E95497" w:rsidRDefault="00260761" w:rsidP="002616DA">
      <w:pPr>
        <w:pStyle w:val="ListParagraph"/>
        <w:numPr>
          <w:ilvl w:val="1"/>
          <w:numId w:val="10"/>
        </w:numPr>
        <w:spacing w:after="120"/>
        <w:ind w:left="1134"/>
        <w:rPr>
          <w:b/>
        </w:rPr>
      </w:pPr>
      <w:r>
        <w:t>The manager should f</w:t>
      </w:r>
      <w:r w:rsidR="004601A1">
        <w:t xml:space="preserve">ormally inform </w:t>
      </w:r>
      <w:r>
        <w:t xml:space="preserve">their </w:t>
      </w:r>
      <w:r w:rsidR="004601A1">
        <w:t xml:space="preserve">line manager that </w:t>
      </w:r>
      <w:r w:rsidR="00866A33">
        <w:t>they</w:t>
      </w:r>
      <w:r w:rsidR="004601A1">
        <w:t xml:space="preserve"> are dealing with a disclosure</w:t>
      </w:r>
      <w:r>
        <w:t xml:space="preserve"> and</w:t>
      </w:r>
      <w:r w:rsidR="004601A1">
        <w:t xml:space="preserve"> </w:t>
      </w:r>
      <w:r>
        <w:t>l</w:t>
      </w:r>
      <w:r w:rsidR="004601A1">
        <w:t>et the</w:t>
      </w:r>
      <w:r>
        <w:t>m</w:t>
      </w:r>
      <w:r w:rsidR="004601A1">
        <w:t xml:space="preserve"> know the nature of the disclosure.  </w:t>
      </w:r>
      <w:r>
        <w:t>The manager should m</w:t>
      </w:r>
      <w:r w:rsidR="004601A1">
        <w:t>aintain confidentiality about th</w:t>
      </w:r>
      <w:r w:rsidR="00E95497">
        <w:t>e identity of the whistleblower within the limits that have been explained to the whistleblower.</w:t>
      </w:r>
      <w:r w:rsidR="00002438">
        <w:t xml:space="preserve"> Where appropriate (e.g. where the issue could affect matters that governors oversee or could have an </w:t>
      </w:r>
      <w:r w:rsidR="00002438">
        <w:lastRenderedPageBreak/>
        <w:t>impact at strategic rather than operational level), the Headteacher should inform the chair of governors that a whistleblowing disclosure is being managed.</w:t>
      </w:r>
    </w:p>
    <w:p w:rsidR="00E95497" w:rsidRDefault="00E95497" w:rsidP="00E95497">
      <w:pPr>
        <w:pStyle w:val="ListParagraph"/>
        <w:numPr>
          <w:ilvl w:val="0"/>
          <w:numId w:val="10"/>
        </w:numPr>
        <w:spacing w:after="120"/>
        <w:rPr>
          <w:b/>
        </w:rPr>
      </w:pPr>
      <w:r w:rsidRPr="00E95497">
        <w:rPr>
          <w:b/>
        </w:rPr>
        <w:t>Managing a Disclosure Meeting</w:t>
      </w:r>
    </w:p>
    <w:p w:rsidR="00E95497" w:rsidRPr="009A0F19" w:rsidRDefault="00E95497" w:rsidP="002616DA">
      <w:pPr>
        <w:pStyle w:val="ListParagraph"/>
        <w:numPr>
          <w:ilvl w:val="1"/>
          <w:numId w:val="10"/>
        </w:numPr>
        <w:spacing w:after="120"/>
        <w:ind w:left="1134"/>
        <w:rPr>
          <w:b/>
        </w:rPr>
      </w:pPr>
      <w:r>
        <w:t xml:space="preserve">It is the responsibility of the senior manager hosting a disclosure meeting to ensure that the whistleblower is put at </w:t>
      </w:r>
      <w:r w:rsidR="007B5626">
        <w:t>their</w:t>
      </w:r>
      <w:r>
        <w:t xml:space="preserve"> ease</w:t>
      </w:r>
      <w:r w:rsidR="009A0F19">
        <w:t>,</w:t>
      </w:r>
      <w:r>
        <w:t xml:space="preserve"> </w:t>
      </w:r>
      <w:r w:rsidR="009A0F19">
        <w:t>as far as is reasonable possible,</w:t>
      </w:r>
      <w:r>
        <w:t xml:space="preserve"> and that the mood of the meeting is professional but supportive.</w:t>
      </w:r>
      <w:r w:rsidR="007B5626">
        <w:t xml:space="preserve">  The priority at this stage is to listen to the whistleblower and understand their concern.</w:t>
      </w:r>
    </w:p>
    <w:p w:rsidR="009A0F19" w:rsidRPr="009A0F19" w:rsidRDefault="009A0F19" w:rsidP="002616DA">
      <w:pPr>
        <w:pStyle w:val="ListParagraph"/>
        <w:numPr>
          <w:ilvl w:val="1"/>
          <w:numId w:val="10"/>
        </w:numPr>
        <w:spacing w:after="120"/>
        <w:ind w:left="1134"/>
        <w:rPr>
          <w:b/>
        </w:rPr>
      </w:pPr>
      <w:r>
        <w:t>A summary record of the meeting must be made and a copy provided to the whistleblower.</w:t>
      </w:r>
    </w:p>
    <w:p w:rsidR="009A0F19" w:rsidRPr="009A0F19" w:rsidRDefault="00260761" w:rsidP="002616DA">
      <w:pPr>
        <w:pStyle w:val="ListParagraph"/>
        <w:numPr>
          <w:ilvl w:val="1"/>
          <w:numId w:val="10"/>
        </w:numPr>
        <w:spacing w:after="120"/>
        <w:ind w:left="1134"/>
        <w:rPr>
          <w:b/>
        </w:rPr>
      </w:pPr>
      <w:r>
        <w:t>A manager must g</w:t>
      </w:r>
      <w:r w:rsidR="009A0F19">
        <w:t>ather all of the information available so that you can fully understand the nature of the concern and who may be involved.</w:t>
      </w:r>
    </w:p>
    <w:p w:rsidR="009A0F19" w:rsidRPr="008C6907" w:rsidRDefault="009A0F19" w:rsidP="002616DA">
      <w:pPr>
        <w:pStyle w:val="ListParagraph"/>
        <w:numPr>
          <w:ilvl w:val="1"/>
          <w:numId w:val="10"/>
        </w:numPr>
        <w:spacing w:after="120"/>
        <w:ind w:left="1134"/>
        <w:rPr>
          <w:b/>
        </w:rPr>
      </w:pPr>
      <w:r>
        <w:t>To be provided with evidence is very helpful.  However, it is legitimate for a whistleblower to share a concern or suspicion for which they do not have evidence.  In this case, try to ascertain the basis for the suspicion.</w:t>
      </w:r>
    </w:p>
    <w:p w:rsidR="008C6907" w:rsidRPr="001E74B2" w:rsidRDefault="008C6907" w:rsidP="002616DA">
      <w:pPr>
        <w:pStyle w:val="ListParagraph"/>
        <w:numPr>
          <w:ilvl w:val="1"/>
          <w:numId w:val="10"/>
        </w:numPr>
        <w:spacing w:after="120"/>
        <w:ind w:left="1134"/>
        <w:rPr>
          <w:b/>
        </w:rPr>
      </w:pPr>
      <w:r>
        <w:t xml:space="preserve">The whistleblower should be reassured that to disclose a genuinely held suspicion that later proves to be wrong is fine.  There are no negative consequences for someone who discloses a genuinely held suspicion whether right or wrong.  </w:t>
      </w:r>
    </w:p>
    <w:p w:rsidR="001E74B2" w:rsidRPr="00265943" w:rsidRDefault="00265943" w:rsidP="002616DA">
      <w:pPr>
        <w:pStyle w:val="ListParagraph"/>
        <w:numPr>
          <w:ilvl w:val="1"/>
          <w:numId w:val="10"/>
        </w:numPr>
        <w:spacing w:after="120"/>
        <w:ind w:left="1134"/>
        <w:rPr>
          <w:b/>
        </w:rPr>
      </w:pPr>
      <w:r>
        <w:t xml:space="preserve">Once </w:t>
      </w:r>
      <w:r w:rsidR="00260761">
        <w:t xml:space="preserve">the manager </w:t>
      </w:r>
      <w:r>
        <w:t>ha</w:t>
      </w:r>
      <w:r w:rsidR="00260761">
        <w:t>s</w:t>
      </w:r>
      <w:r>
        <w:t xml:space="preserve"> all of the information </w:t>
      </w:r>
      <w:r w:rsidR="00866A33">
        <w:t>they</w:t>
      </w:r>
      <w:r>
        <w:t xml:space="preserve"> must explain to the whistleblower what will happen next:</w:t>
      </w:r>
    </w:p>
    <w:p w:rsidR="00265943" w:rsidRPr="00265943" w:rsidRDefault="00265943" w:rsidP="002616DA">
      <w:pPr>
        <w:pStyle w:val="ListParagraph"/>
        <w:numPr>
          <w:ilvl w:val="2"/>
          <w:numId w:val="10"/>
        </w:numPr>
        <w:spacing w:after="120"/>
        <w:ind w:left="1560"/>
        <w:rPr>
          <w:b/>
        </w:rPr>
      </w:pPr>
      <w:r>
        <w:t>An assessment will be made in consultation with Trust senior managers as to whether enough information is available to come to a conclusion about what action to take next or whether a formal investigation is required to gather further information.</w:t>
      </w:r>
    </w:p>
    <w:p w:rsidR="00265943" w:rsidRPr="00265943" w:rsidRDefault="00265943" w:rsidP="002616DA">
      <w:pPr>
        <w:pStyle w:val="ListParagraph"/>
        <w:numPr>
          <w:ilvl w:val="2"/>
          <w:numId w:val="10"/>
        </w:numPr>
        <w:spacing w:after="120"/>
        <w:ind w:left="1560"/>
        <w:rPr>
          <w:b/>
        </w:rPr>
      </w:pPr>
      <w:r>
        <w:t>Once all of the necessary information and evidence is available the Trust will determine the appropriate action to take.</w:t>
      </w:r>
    </w:p>
    <w:p w:rsidR="00265943" w:rsidRPr="00B33964" w:rsidRDefault="00265943" w:rsidP="002616DA">
      <w:pPr>
        <w:pStyle w:val="ListParagraph"/>
        <w:numPr>
          <w:ilvl w:val="2"/>
          <w:numId w:val="10"/>
        </w:numPr>
        <w:spacing w:after="120"/>
        <w:ind w:left="1560"/>
        <w:rPr>
          <w:b/>
        </w:rPr>
      </w:pPr>
      <w:r>
        <w:t xml:space="preserve">If the appropriate action includes potential processes involving other employees then the Trust also has a duty of care and duty of confidentiality towards those employees.  It will not be possible therefore to </w:t>
      </w:r>
      <w:r w:rsidR="00B33964">
        <w:t>feedback to the whistleblower about specific processes or actions applied to other individuals.  It is possible however that under some circumstances the whistleblower may be asked to be a witness if formal procedures are instigated.</w:t>
      </w:r>
    </w:p>
    <w:p w:rsidR="00793161" w:rsidRPr="00F637E5" w:rsidRDefault="00B33964" w:rsidP="002616DA">
      <w:pPr>
        <w:pStyle w:val="ListParagraph"/>
        <w:numPr>
          <w:ilvl w:val="2"/>
          <w:numId w:val="10"/>
        </w:numPr>
        <w:spacing w:after="120"/>
        <w:ind w:left="1560"/>
        <w:rPr>
          <w:rFonts w:cs="Arial"/>
        </w:rPr>
      </w:pPr>
      <w:r>
        <w:t xml:space="preserve">The whistleblower should be given clear timescales for when they can expect feedback on the outcome of their </w:t>
      </w:r>
      <w:r w:rsidR="00656AD9">
        <w:t>disclosure</w:t>
      </w:r>
      <w:r>
        <w:t>.</w:t>
      </w:r>
    </w:p>
    <w:p w:rsidR="00F637E5" w:rsidRPr="00B97B71" w:rsidRDefault="00F637E5" w:rsidP="00F637E5">
      <w:pPr>
        <w:pStyle w:val="ListParagraph"/>
        <w:numPr>
          <w:ilvl w:val="0"/>
          <w:numId w:val="10"/>
        </w:numPr>
        <w:spacing w:after="120"/>
        <w:rPr>
          <w:rFonts w:cs="Arial"/>
          <w:b/>
        </w:rPr>
      </w:pPr>
      <w:r w:rsidRPr="00F637E5">
        <w:rPr>
          <w:b/>
        </w:rPr>
        <w:lastRenderedPageBreak/>
        <w:t>Assessing the Disclosure</w:t>
      </w:r>
    </w:p>
    <w:p w:rsidR="00B97B71" w:rsidRPr="00B97B71" w:rsidRDefault="00B97B71" w:rsidP="002616DA">
      <w:pPr>
        <w:pStyle w:val="ListParagraph"/>
        <w:numPr>
          <w:ilvl w:val="1"/>
          <w:numId w:val="10"/>
        </w:numPr>
        <w:spacing w:after="120"/>
        <w:ind w:left="1134"/>
        <w:rPr>
          <w:rFonts w:cs="Arial"/>
          <w:b/>
        </w:rPr>
      </w:pPr>
      <w:r>
        <w:t xml:space="preserve">Following the disclosure meeting and in consultation with a member of the HR team and </w:t>
      </w:r>
      <w:r w:rsidR="00260761">
        <w:t xml:space="preserve">the manager’s </w:t>
      </w:r>
      <w:r>
        <w:t xml:space="preserve">line manager </w:t>
      </w:r>
      <w:r w:rsidR="00260761">
        <w:t xml:space="preserve">they </w:t>
      </w:r>
      <w:r>
        <w:t>need to decide whether there is enough information available to come to a conclusion about the disclosure.  The possible conclusions are:</w:t>
      </w:r>
    </w:p>
    <w:p w:rsidR="000F750F" w:rsidRPr="000F750F" w:rsidRDefault="000F750F" w:rsidP="002616DA">
      <w:pPr>
        <w:pStyle w:val="ListParagraph"/>
        <w:numPr>
          <w:ilvl w:val="2"/>
          <w:numId w:val="10"/>
        </w:numPr>
        <w:spacing w:after="120"/>
        <w:ind w:left="1560"/>
        <w:rPr>
          <w:rFonts w:cs="Arial"/>
          <w:b/>
        </w:rPr>
      </w:pPr>
      <w:r>
        <w:t>The disclosure meets the whistleblowing criteria and needs to be progressed to a formal investigation.</w:t>
      </w:r>
    </w:p>
    <w:p w:rsidR="00CC6829" w:rsidRPr="000F750F" w:rsidRDefault="00363691" w:rsidP="002616DA">
      <w:pPr>
        <w:pStyle w:val="ListParagraph"/>
        <w:numPr>
          <w:ilvl w:val="2"/>
          <w:numId w:val="10"/>
        </w:numPr>
        <w:spacing w:after="120"/>
        <w:ind w:left="1560"/>
        <w:rPr>
          <w:rFonts w:cs="Arial"/>
          <w:b/>
        </w:rPr>
      </w:pPr>
      <w:r>
        <w:t xml:space="preserve">The disclosure is based on a misunderstanding of legitimate </w:t>
      </w:r>
      <w:r w:rsidRPr="00363691">
        <w:rPr>
          <w:lang w:val="en-GB"/>
        </w:rPr>
        <w:t>behaviours</w:t>
      </w:r>
      <w:r w:rsidR="00CC6829">
        <w:t xml:space="preserve"> by other staff.</w:t>
      </w:r>
    </w:p>
    <w:p w:rsidR="00CC6829" w:rsidRPr="00CC6829" w:rsidRDefault="00CC6829" w:rsidP="002616DA">
      <w:pPr>
        <w:pStyle w:val="ListParagraph"/>
        <w:numPr>
          <w:ilvl w:val="2"/>
          <w:numId w:val="10"/>
        </w:numPr>
        <w:spacing w:after="120"/>
        <w:ind w:left="1560"/>
        <w:rPr>
          <w:rFonts w:cs="Arial"/>
          <w:b/>
        </w:rPr>
      </w:pPr>
      <w:r>
        <w:t>The disclosure constitutes a personal grievance rather than whistleblowing.</w:t>
      </w:r>
    </w:p>
    <w:p w:rsidR="00CC6829" w:rsidRPr="0031272C" w:rsidRDefault="00E053A4" w:rsidP="002616DA">
      <w:pPr>
        <w:pStyle w:val="ListParagraph"/>
        <w:numPr>
          <w:ilvl w:val="2"/>
          <w:numId w:val="10"/>
        </w:numPr>
        <w:spacing w:after="120"/>
        <w:ind w:left="1560"/>
        <w:rPr>
          <w:rFonts w:cs="Arial"/>
          <w:b/>
        </w:rPr>
      </w:pPr>
      <w:r>
        <w:rPr>
          <w:rFonts w:cs="Arial"/>
        </w:rPr>
        <w:t>The disclosure is potentially malicious.</w:t>
      </w:r>
    </w:p>
    <w:p w:rsidR="0031272C" w:rsidRPr="009A0AFA" w:rsidRDefault="0031272C" w:rsidP="002616DA">
      <w:pPr>
        <w:pStyle w:val="ListParagraph"/>
        <w:numPr>
          <w:ilvl w:val="1"/>
          <w:numId w:val="10"/>
        </w:numPr>
        <w:spacing w:after="120"/>
        <w:ind w:left="1134"/>
        <w:rPr>
          <w:rFonts w:cs="Arial"/>
          <w:b/>
        </w:rPr>
      </w:pPr>
      <w:r>
        <w:rPr>
          <w:rFonts w:cs="Arial"/>
        </w:rPr>
        <w:t xml:space="preserve">The conclusion reached must be based on: the evidence available; objective assessment; treating all individuals potentially involved equitable and fairly; based on the principles of natural justice.  </w:t>
      </w:r>
    </w:p>
    <w:p w:rsidR="009A0AFA" w:rsidRPr="00C93063" w:rsidRDefault="0030655B" w:rsidP="002616DA">
      <w:pPr>
        <w:pStyle w:val="ListParagraph"/>
        <w:numPr>
          <w:ilvl w:val="1"/>
          <w:numId w:val="10"/>
        </w:numPr>
        <w:spacing w:after="120"/>
        <w:ind w:left="1134"/>
        <w:rPr>
          <w:rFonts w:cs="Arial"/>
          <w:b/>
        </w:rPr>
      </w:pPr>
      <w:r>
        <w:rPr>
          <w:rFonts w:cs="Arial"/>
        </w:rPr>
        <w:t xml:space="preserve">The conclusion reached must take note of the views of the HR advice and your line manager’s views.  </w:t>
      </w:r>
      <w:r w:rsidR="00C93063">
        <w:rPr>
          <w:rFonts w:cs="Arial"/>
        </w:rPr>
        <w:t xml:space="preserve">However, the conclusion is the one that </w:t>
      </w:r>
      <w:r w:rsidR="00260761">
        <w:rPr>
          <w:rFonts w:cs="Arial"/>
        </w:rPr>
        <w:t xml:space="preserve">the manager </w:t>
      </w:r>
      <w:r w:rsidR="00C93063">
        <w:rPr>
          <w:rFonts w:cs="Arial"/>
        </w:rPr>
        <w:t>genuinely hold</w:t>
      </w:r>
      <w:r w:rsidR="00260761">
        <w:rPr>
          <w:rFonts w:cs="Arial"/>
        </w:rPr>
        <w:t>s</w:t>
      </w:r>
      <w:r w:rsidR="00C93063">
        <w:rPr>
          <w:rFonts w:cs="Arial"/>
        </w:rPr>
        <w:t xml:space="preserve"> after taking account of all of the information available to </w:t>
      </w:r>
      <w:r w:rsidR="00260761">
        <w:rPr>
          <w:rFonts w:cs="Arial"/>
        </w:rPr>
        <w:t xml:space="preserve">them </w:t>
      </w:r>
      <w:r w:rsidR="00C93063">
        <w:rPr>
          <w:rFonts w:cs="Arial"/>
        </w:rPr>
        <w:t>and having taken advice.</w:t>
      </w:r>
    </w:p>
    <w:p w:rsidR="00C93063" w:rsidRPr="00C93063" w:rsidRDefault="00260761" w:rsidP="002616DA">
      <w:pPr>
        <w:pStyle w:val="ListParagraph"/>
        <w:numPr>
          <w:ilvl w:val="1"/>
          <w:numId w:val="10"/>
        </w:numPr>
        <w:spacing w:after="120"/>
        <w:ind w:left="1134"/>
        <w:rPr>
          <w:rFonts w:cs="Arial"/>
          <w:b/>
        </w:rPr>
      </w:pPr>
      <w:r>
        <w:rPr>
          <w:rFonts w:cs="Arial"/>
        </w:rPr>
        <w:t xml:space="preserve">The manager’s </w:t>
      </w:r>
      <w:r w:rsidR="00C93063">
        <w:rPr>
          <w:rFonts w:cs="Arial"/>
        </w:rPr>
        <w:t xml:space="preserve">conclusion, along with a summary of the disclosure and the information available must then be recorded </w:t>
      </w:r>
      <w:r w:rsidR="00302D3D">
        <w:rPr>
          <w:rFonts w:cs="Arial"/>
        </w:rPr>
        <w:t>and then</w:t>
      </w:r>
      <w:r w:rsidR="00C93063">
        <w:rPr>
          <w:rFonts w:cs="Arial"/>
        </w:rPr>
        <w:t xml:space="preserve"> sent directly to the </w:t>
      </w:r>
      <w:r w:rsidR="002616DA">
        <w:rPr>
          <w:rFonts w:cs="Arial"/>
        </w:rPr>
        <w:t>Internal Auditor</w:t>
      </w:r>
      <w:r w:rsidR="00002438">
        <w:rPr>
          <w:rFonts w:cs="Arial"/>
        </w:rPr>
        <w:t xml:space="preserve"> and, where appropriate (see 4.i above), copied to the chair of governors.</w:t>
      </w:r>
    </w:p>
    <w:p w:rsidR="00C93063" w:rsidRPr="00C93063" w:rsidRDefault="00C93063" w:rsidP="002616DA">
      <w:pPr>
        <w:pStyle w:val="ListParagraph"/>
        <w:numPr>
          <w:ilvl w:val="1"/>
          <w:numId w:val="10"/>
        </w:numPr>
        <w:spacing w:after="120"/>
        <w:ind w:left="1134"/>
        <w:rPr>
          <w:rFonts w:cs="Arial"/>
          <w:b/>
        </w:rPr>
      </w:pPr>
      <w:r>
        <w:rPr>
          <w:rFonts w:cs="Arial"/>
        </w:rPr>
        <w:t xml:space="preserve">The </w:t>
      </w:r>
      <w:r w:rsidR="002616DA">
        <w:rPr>
          <w:rFonts w:cs="Arial"/>
        </w:rPr>
        <w:t>In</w:t>
      </w:r>
      <w:r>
        <w:rPr>
          <w:rFonts w:cs="Arial"/>
        </w:rPr>
        <w:t>ternal Audit</w:t>
      </w:r>
      <w:r w:rsidR="002616DA">
        <w:rPr>
          <w:rFonts w:cs="Arial"/>
        </w:rPr>
        <w:t>or</w:t>
      </w:r>
      <w:r>
        <w:rPr>
          <w:rFonts w:cs="Arial"/>
        </w:rPr>
        <w:t xml:space="preserve"> will then formally advise you of the next steps.</w:t>
      </w:r>
    </w:p>
    <w:p w:rsidR="00C93063" w:rsidRPr="00656AD9" w:rsidRDefault="00C93063" w:rsidP="002616DA">
      <w:pPr>
        <w:pStyle w:val="ListParagraph"/>
        <w:numPr>
          <w:ilvl w:val="1"/>
          <w:numId w:val="10"/>
        </w:numPr>
        <w:spacing w:after="120"/>
        <w:ind w:left="1134"/>
        <w:rPr>
          <w:rFonts w:cs="Arial"/>
          <w:b/>
        </w:rPr>
      </w:pPr>
      <w:r>
        <w:rPr>
          <w:rFonts w:cs="Arial"/>
        </w:rPr>
        <w:t>If you suspect that a criminal offence has occurred, then there must be no further attempt to collect evidence or take witness statements.  Such actions may undermine a police criminal investigation</w:t>
      </w:r>
      <w:r w:rsidR="000F750F">
        <w:rPr>
          <w:rFonts w:cs="Arial"/>
        </w:rPr>
        <w:t xml:space="preserve"> by tainting evidence</w:t>
      </w:r>
      <w:r>
        <w:rPr>
          <w:rFonts w:cs="Arial"/>
        </w:rPr>
        <w:t>.  The Internal Audit</w:t>
      </w:r>
      <w:r w:rsidR="002616DA">
        <w:rPr>
          <w:rFonts w:cs="Arial"/>
        </w:rPr>
        <w:t>or</w:t>
      </w:r>
      <w:r>
        <w:rPr>
          <w:rFonts w:cs="Arial"/>
        </w:rPr>
        <w:t xml:space="preserve"> must be ad</w:t>
      </w:r>
      <w:r w:rsidR="003304DD">
        <w:rPr>
          <w:rFonts w:cs="Arial"/>
        </w:rPr>
        <w:t>vised immediately who will advis</w:t>
      </w:r>
      <w:r>
        <w:rPr>
          <w:rFonts w:cs="Arial"/>
        </w:rPr>
        <w:t>e on the next steps.</w:t>
      </w:r>
    </w:p>
    <w:p w:rsidR="00D13CB0" w:rsidRPr="00656AD9" w:rsidRDefault="00D13CB0" w:rsidP="00656AD9">
      <w:pPr>
        <w:spacing w:after="120"/>
        <w:ind w:left="774"/>
        <w:rPr>
          <w:rFonts w:cs="Arial"/>
        </w:rPr>
      </w:pPr>
      <w:r w:rsidRPr="00656AD9">
        <w:rPr>
          <w:rFonts w:cs="Arial"/>
        </w:rPr>
        <w:t>Contact details of the Internal Auditor:</w:t>
      </w:r>
    </w:p>
    <w:p w:rsidR="00D13CB0" w:rsidRPr="00656AD9" w:rsidRDefault="00D13CB0" w:rsidP="00656AD9">
      <w:pPr>
        <w:spacing w:after="120"/>
        <w:ind w:left="774"/>
        <w:rPr>
          <w:rFonts w:cs="Arial"/>
        </w:rPr>
      </w:pPr>
      <w:r w:rsidRPr="00656AD9">
        <w:rPr>
          <w:rFonts w:cs="Arial"/>
        </w:rPr>
        <w:t>Michelle Roe</w:t>
      </w:r>
    </w:p>
    <w:p w:rsidR="00D13CB0" w:rsidRDefault="00D13CB0" w:rsidP="00656AD9">
      <w:pPr>
        <w:spacing w:after="120"/>
        <w:ind w:left="774"/>
        <w:rPr>
          <w:rFonts w:cs="Arial"/>
          <w:color w:val="222222"/>
          <w:lang w:eastAsia="en-GB"/>
        </w:rPr>
      </w:pPr>
      <w:r>
        <w:rPr>
          <w:rFonts w:cs="Arial"/>
        </w:rPr>
        <w:t xml:space="preserve">Telephone: </w:t>
      </w:r>
      <w:r w:rsidRPr="00656AD9">
        <w:rPr>
          <w:rFonts w:cs="Arial"/>
        </w:rPr>
        <w:t>0</w:t>
      </w:r>
      <w:r>
        <w:rPr>
          <w:rFonts w:cs="Arial"/>
          <w:color w:val="222222"/>
          <w:lang w:eastAsia="en-GB"/>
        </w:rPr>
        <w:t>7387411652</w:t>
      </w:r>
    </w:p>
    <w:p w:rsidR="00D13CB0" w:rsidRPr="00413625" w:rsidRDefault="00D13CB0" w:rsidP="00656AD9">
      <w:pPr>
        <w:spacing w:after="120"/>
        <w:rPr>
          <w:rFonts w:cs="Arial"/>
        </w:rPr>
      </w:pPr>
      <w:r>
        <w:rPr>
          <w:rFonts w:cs="Arial"/>
          <w:color w:val="222222"/>
          <w:lang w:eastAsia="en-GB"/>
        </w:rPr>
        <w:t>Email: michelle.roe@reach2.org</w:t>
      </w:r>
    </w:p>
    <w:p w:rsidR="000F750F" w:rsidRDefault="000F750F">
      <w:pPr>
        <w:spacing w:before="0" w:after="0"/>
        <w:rPr>
          <w:rFonts w:ascii="Helvetica" w:eastAsiaTheme="minorEastAsia" w:hAnsi="Helvetica" w:cs="Arial"/>
          <w:szCs w:val="24"/>
          <w:lang w:val="en-US"/>
        </w:rPr>
      </w:pPr>
    </w:p>
    <w:p w:rsidR="000F750F" w:rsidRDefault="000F750F" w:rsidP="000F750F">
      <w:pPr>
        <w:pStyle w:val="ListParagraph"/>
        <w:numPr>
          <w:ilvl w:val="0"/>
          <w:numId w:val="10"/>
        </w:numPr>
        <w:spacing w:after="120"/>
        <w:rPr>
          <w:rFonts w:cs="Arial"/>
          <w:b/>
        </w:rPr>
      </w:pPr>
      <w:r>
        <w:rPr>
          <w:rFonts w:cs="Arial"/>
          <w:b/>
        </w:rPr>
        <w:t xml:space="preserve">Role of </w:t>
      </w:r>
      <w:r w:rsidR="002616DA">
        <w:rPr>
          <w:rFonts w:cs="Arial"/>
          <w:b/>
        </w:rPr>
        <w:t>the</w:t>
      </w:r>
      <w:r>
        <w:rPr>
          <w:rFonts w:cs="Arial"/>
          <w:b/>
        </w:rPr>
        <w:t xml:space="preserve"> Internal Audit</w:t>
      </w:r>
      <w:r w:rsidR="002616DA">
        <w:rPr>
          <w:rFonts w:cs="Arial"/>
          <w:b/>
        </w:rPr>
        <w:t>or</w:t>
      </w:r>
    </w:p>
    <w:p w:rsidR="000F750F" w:rsidRPr="005A6F6C" w:rsidRDefault="000F750F" w:rsidP="002616DA">
      <w:pPr>
        <w:pStyle w:val="ListParagraph"/>
        <w:numPr>
          <w:ilvl w:val="1"/>
          <w:numId w:val="10"/>
        </w:numPr>
        <w:spacing w:after="120"/>
        <w:ind w:left="1134"/>
        <w:rPr>
          <w:rFonts w:cs="Arial"/>
          <w:b/>
        </w:rPr>
      </w:pPr>
      <w:r>
        <w:rPr>
          <w:rFonts w:cs="Arial"/>
        </w:rPr>
        <w:t>The Internal Audit</w:t>
      </w:r>
      <w:r w:rsidR="002616DA">
        <w:rPr>
          <w:rFonts w:cs="Arial"/>
        </w:rPr>
        <w:t>or</w:t>
      </w:r>
      <w:r>
        <w:rPr>
          <w:rFonts w:cs="Arial"/>
        </w:rPr>
        <w:t xml:space="preserve"> will consider the ‘CONFIDENTIAL – Whistleblowing Disclosure Assessment’ </w:t>
      </w:r>
      <w:r w:rsidR="005A6F6C">
        <w:rPr>
          <w:rFonts w:cs="Arial"/>
        </w:rPr>
        <w:t xml:space="preserve">and determine the next </w:t>
      </w:r>
      <w:r w:rsidR="005A6F6C">
        <w:rPr>
          <w:rFonts w:cs="Arial"/>
        </w:rPr>
        <w:lastRenderedPageBreak/>
        <w:t xml:space="preserve">steps depending on the circumstances and context of the disclosure.  An example of next steps </w:t>
      </w:r>
      <w:r w:rsidR="00866A33">
        <w:rPr>
          <w:rFonts w:cs="Arial"/>
        </w:rPr>
        <w:t>is</w:t>
      </w:r>
      <w:r w:rsidR="005A6F6C">
        <w:rPr>
          <w:rFonts w:cs="Arial"/>
        </w:rPr>
        <w:t xml:space="preserve"> provided as follows but this is not an exhaustive list:</w:t>
      </w:r>
    </w:p>
    <w:p w:rsidR="005A6F6C" w:rsidRPr="005A6F6C" w:rsidRDefault="005A6F6C" w:rsidP="002616DA">
      <w:pPr>
        <w:pStyle w:val="ListParagraph"/>
        <w:numPr>
          <w:ilvl w:val="2"/>
          <w:numId w:val="10"/>
        </w:numPr>
        <w:spacing w:after="120"/>
        <w:ind w:left="1418"/>
        <w:rPr>
          <w:rFonts w:cs="Arial"/>
          <w:b/>
        </w:rPr>
      </w:pPr>
      <w:r>
        <w:rPr>
          <w:rFonts w:cs="Arial"/>
        </w:rPr>
        <w:t xml:space="preserve">Determine that potentially there has been a breach of professional standards that require </w:t>
      </w:r>
      <w:r w:rsidR="00413625">
        <w:rPr>
          <w:rFonts w:cs="Arial"/>
        </w:rPr>
        <w:t xml:space="preserve">a further fact finding exercise, </w:t>
      </w:r>
      <w:r>
        <w:rPr>
          <w:rFonts w:cs="Arial"/>
        </w:rPr>
        <w:t>a</w:t>
      </w:r>
      <w:r w:rsidR="00413625">
        <w:rPr>
          <w:rFonts w:cs="Arial"/>
        </w:rPr>
        <w:t>n</w:t>
      </w:r>
      <w:r>
        <w:rPr>
          <w:rFonts w:cs="Arial"/>
        </w:rPr>
        <w:t xml:space="preserve"> investigation or a formal internal disciplinary investigation</w:t>
      </w:r>
      <w:r w:rsidR="00413625">
        <w:rPr>
          <w:rFonts w:cs="Arial"/>
        </w:rPr>
        <w:t xml:space="preserve"> to be carried out</w:t>
      </w:r>
      <w:r>
        <w:rPr>
          <w:rFonts w:cs="Arial"/>
        </w:rPr>
        <w:t xml:space="preserve">.   </w:t>
      </w:r>
    </w:p>
    <w:p w:rsidR="005A6F6C" w:rsidRPr="005A6F6C" w:rsidRDefault="005A6F6C" w:rsidP="002616DA">
      <w:pPr>
        <w:pStyle w:val="ListParagraph"/>
        <w:numPr>
          <w:ilvl w:val="3"/>
          <w:numId w:val="10"/>
        </w:numPr>
        <w:spacing w:after="120"/>
        <w:ind w:left="1843"/>
        <w:rPr>
          <w:rFonts w:cs="Arial"/>
          <w:b/>
        </w:rPr>
      </w:pPr>
      <w:r>
        <w:rPr>
          <w:rFonts w:cs="Arial"/>
        </w:rPr>
        <w:t xml:space="preserve">The </w:t>
      </w:r>
      <w:r w:rsidR="002616DA">
        <w:rPr>
          <w:rFonts w:cs="Arial"/>
        </w:rPr>
        <w:t>Internal Auditor</w:t>
      </w:r>
      <w:r>
        <w:rPr>
          <w:rFonts w:cs="Arial"/>
        </w:rPr>
        <w:t xml:space="preserve"> will initiate the appropriate internal investigation processes.</w:t>
      </w:r>
    </w:p>
    <w:p w:rsidR="005A6F6C" w:rsidRPr="00DC608F" w:rsidRDefault="005A6F6C" w:rsidP="002616DA">
      <w:pPr>
        <w:pStyle w:val="ListParagraph"/>
        <w:numPr>
          <w:ilvl w:val="3"/>
          <w:numId w:val="10"/>
        </w:numPr>
        <w:spacing w:after="120"/>
        <w:ind w:left="1843"/>
        <w:rPr>
          <w:rFonts w:cs="Arial"/>
          <w:b/>
        </w:rPr>
      </w:pPr>
      <w:r>
        <w:rPr>
          <w:rFonts w:cs="Arial"/>
        </w:rPr>
        <w:t xml:space="preserve">The </w:t>
      </w:r>
      <w:r w:rsidR="002616DA">
        <w:rPr>
          <w:rFonts w:cs="Arial"/>
        </w:rPr>
        <w:t>Internal Auditor</w:t>
      </w:r>
      <w:r>
        <w:rPr>
          <w:rFonts w:cs="Arial"/>
        </w:rPr>
        <w:t xml:space="preserve"> will </w:t>
      </w:r>
      <w:r w:rsidR="00DC608F">
        <w:rPr>
          <w:rFonts w:cs="Arial"/>
        </w:rPr>
        <w:t>authorize</w:t>
      </w:r>
      <w:r>
        <w:rPr>
          <w:rFonts w:cs="Arial"/>
        </w:rPr>
        <w:t xml:space="preserve"> </w:t>
      </w:r>
      <w:r w:rsidR="00DC608F">
        <w:rPr>
          <w:rFonts w:cs="Arial"/>
        </w:rPr>
        <w:t>the manager</w:t>
      </w:r>
      <w:r>
        <w:rPr>
          <w:rFonts w:cs="Arial"/>
        </w:rPr>
        <w:t xml:space="preserve"> that received the disclosure to </w:t>
      </w:r>
      <w:r w:rsidR="00DC608F">
        <w:rPr>
          <w:rFonts w:cs="Arial"/>
        </w:rPr>
        <w:t>feedback to the whistleblower that a formal investigation into their concern has been initiated.</w:t>
      </w:r>
    </w:p>
    <w:p w:rsidR="00DC608F" w:rsidRPr="00DC608F" w:rsidRDefault="00DC608F" w:rsidP="002616DA">
      <w:pPr>
        <w:pStyle w:val="ListParagraph"/>
        <w:numPr>
          <w:ilvl w:val="2"/>
          <w:numId w:val="10"/>
        </w:numPr>
        <w:spacing w:after="120"/>
        <w:ind w:left="1418"/>
        <w:rPr>
          <w:rFonts w:cs="Arial"/>
          <w:b/>
        </w:rPr>
      </w:pPr>
      <w:r>
        <w:rPr>
          <w:rFonts w:cs="Arial"/>
        </w:rPr>
        <w:t>Determine that there has been a breach of criminal law.</w:t>
      </w:r>
    </w:p>
    <w:p w:rsidR="00DC608F" w:rsidRPr="00DC608F" w:rsidRDefault="00DC608F" w:rsidP="002616DA">
      <w:pPr>
        <w:pStyle w:val="ListParagraph"/>
        <w:numPr>
          <w:ilvl w:val="3"/>
          <w:numId w:val="10"/>
        </w:numPr>
        <w:spacing w:after="120"/>
        <w:ind w:left="1843"/>
        <w:rPr>
          <w:rFonts w:cs="Arial"/>
          <w:b/>
        </w:rPr>
      </w:pPr>
      <w:r>
        <w:rPr>
          <w:rFonts w:cs="Arial"/>
        </w:rPr>
        <w:t xml:space="preserve">The </w:t>
      </w:r>
      <w:r w:rsidR="002616DA">
        <w:rPr>
          <w:rFonts w:cs="Arial"/>
        </w:rPr>
        <w:t>Internal Auditor</w:t>
      </w:r>
      <w:r>
        <w:rPr>
          <w:rFonts w:cs="Arial"/>
        </w:rPr>
        <w:t xml:space="preserve"> will authorize the appropriate manager to inform the police immediately.</w:t>
      </w:r>
    </w:p>
    <w:p w:rsidR="00DC608F" w:rsidRPr="00DC608F" w:rsidRDefault="00DC608F" w:rsidP="002616DA">
      <w:pPr>
        <w:pStyle w:val="ListParagraph"/>
        <w:numPr>
          <w:ilvl w:val="3"/>
          <w:numId w:val="10"/>
        </w:numPr>
        <w:spacing w:after="120"/>
        <w:ind w:left="1843"/>
        <w:rPr>
          <w:rFonts w:cs="Arial"/>
          <w:b/>
        </w:rPr>
      </w:pPr>
      <w:r>
        <w:rPr>
          <w:rFonts w:cs="Arial"/>
        </w:rPr>
        <w:t xml:space="preserve">The </w:t>
      </w:r>
      <w:r w:rsidR="002616DA">
        <w:rPr>
          <w:rFonts w:cs="Arial"/>
        </w:rPr>
        <w:t>Internal Auditor</w:t>
      </w:r>
      <w:r>
        <w:rPr>
          <w:rFonts w:cs="Arial"/>
        </w:rPr>
        <w:t xml:space="preserve"> will take all reasonable measures to ensure that the Trust employees do not initiate any further actions or communications that might compromise a police criminal investigation.</w:t>
      </w:r>
    </w:p>
    <w:p w:rsidR="00DC608F" w:rsidRPr="00DC608F" w:rsidRDefault="00DC608F" w:rsidP="002616DA">
      <w:pPr>
        <w:pStyle w:val="ListParagraph"/>
        <w:numPr>
          <w:ilvl w:val="2"/>
          <w:numId w:val="10"/>
        </w:numPr>
        <w:spacing w:after="120"/>
        <w:ind w:left="1418"/>
        <w:rPr>
          <w:rFonts w:cs="Arial"/>
          <w:b/>
        </w:rPr>
      </w:pPr>
      <w:r>
        <w:rPr>
          <w:rFonts w:cs="Arial"/>
        </w:rPr>
        <w:t>Determine that the disclosure was a misunderstanding of the legitimate actions of other staff.</w:t>
      </w:r>
    </w:p>
    <w:p w:rsidR="00DC608F" w:rsidRPr="00D1583D" w:rsidRDefault="00EB7353" w:rsidP="002616DA">
      <w:pPr>
        <w:pStyle w:val="ListParagraph"/>
        <w:numPr>
          <w:ilvl w:val="3"/>
          <w:numId w:val="10"/>
        </w:numPr>
        <w:spacing w:after="120"/>
        <w:ind w:left="1843"/>
        <w:rPr>
          <w:rFonts w:cs="Arial"/>
          <w:b/>
        </w:rPr>
      </w:pPr>
      <w:r>
        <w:rPr>
          <w:rFonts w:cs="Arial"/>
        </w:rPr>
        <w:t xml:space="preserve">The </w:t>
      </w:r>
      <w:r w:rsidR="002616DA">
        <w:rPr>
          <w:rFonts w:cs="Arial"/>
        </w:rPr>
        <w:t>Internal Auditor</w:t>
      </w:r>
      <w:r>
        <w:rPr>
          <w:rFonts w:cs="Arial"/>
        </w:rPr>
        <w:t xml:space="preserve"> will authorize the manager that received the disclosure to feedback the finding to the whistleblower and to provide them with all of the necessary information, evidence and support to satisfy them that the </w:t>
      </w:r>
      <w:r w:rsidRPr="00EB7353">
        <w:rPr>
          <w:rFonts w:cs="Arial"/>
          <w:lang w:val="en-GB"/>
        </w:rPr>
        <w:t>behaviours</w:t>
      </w:r>
      <w:r>
        <w:rPr>
          <w:rFonts w:cs="Arial"/>
        </w:rPr>
        <w:t xml:space="preserve"> that they were concerned about were legitimate and appropriate.  </w:t>
      </w:r>
    </w:p>
    <w:p w:rsidR="00D1583D" w:rsidRPr="00D1583D" w:rsidRDefault="00D1583D" w:rsidP="002616DA">
      <w:pPr>
        <w:pStyle w:val="ListParagraph"/>
        <w:numPr>
          <w:ilvl w:val="2"/>
          <w:numId w:val="10"/>
        </w:numPr>
        <w:spacing w:after="120"/>
        <w:ind w:left="1418"/>
        <w:rPr>
          <w:rFonts w:cs="Arial"/>
          <w:b/>
        </w:rPr>
      </w:pPr>
      <w:r>
        <w:rPr>
          <w:rFonts w:cs="Arial"/>
        </w:rPr>
        <w:t>Determine that the disclosure constituted a personal grievance rather than whistleblowing.</w:t>
      </w:r>
    </w:p>
    <w:p w:rsidR="00913708" w:rsidRPr="00913708" w:rsidRDefault="00D1583D" w:rsidP="002616DA">
      <w:pPr>
        <w:pStyle w:val="ListParagraph"/>
        <w:numPr>
          <w:ilvl w:val="3"/>
          <w:numId w:val="10"/>
        </w:numPr>
        <w:spacing w:after="120"/>
        <w:ind w:left="1701"/>
        <w:rPr>
          <w:rFonts w:cs="Arial"/>
          <w:b/>
        </w:rPr>
      </w:pPr>
      <w:r>
        <w:rPr>
          <w:rFonts w:cs="Arial"/>
        </w:rPr>
        <w:t xml:space="preserve">The </w:t>
      </w:r>
      <w:r w:rsidR="002616DA">
        <w:rPr>
          <w:rFonts w:cs="Arial"/>
        </w:rPr>
        <w:t>Internal Auditor</w:t>
      </w:r>
      <w:r>
        <w:rPr>
          <w:rFonts w:cs="Arial"/>
        </w:rPr>
        <w:t xml:space="preserve"> will authorize the </w:t>
      </w:r>
      <w:r w:rsidR="00D13CB0">
        <w:rPr>
          <w:rFonts w:cs="Arial"/>
        </w:rPr>
        <w:t xml:space="preserve">Director </w:t>
      </w:r>
      <w:r>
        <w:rPr>
          <w:rFonts w:cs="Arial"/>
        </w:rPr>
        <w:t xml:space="preserve">of HR to take the necessary steps to provide </w:t>
      </w:r>
      <w:r w:rsidR="00913708">
        <w:rPr>
          <w:rFonts w:cs="Arial"/>
        </w:rPr>
        <w:t>the ‘whistleblower’ with the appropriate support and guidance for managing a grievance and to understand the difference between grievance and whistleblowing.</w:t>
      </w:r>
    </w:p>
    <w:p w:rsidR="00913708" w:rsidRPr="00913708" w:rsidRDefault="00913708" w:rsidP="002616DA">
      <w:pPr>
        <w:pStyle w:val="ListParagraph"/>
        <w:numPr>
          <w:ilvl w:val="2"/>
          <w:numId w:val="10"/>
        </w:numPr>
        <w:spacing w:after="120"/>
        <w:ind w:left="1418"/>
        <w:rPr>
          <w:rFonts w:cs="Arial"/>
          <w:b/>
        </w:rPr>
      </w:pPr>
      <w:r>
        <w:rPr>
          <w:rFonts w:cs="Arial"/>
        </w:rPr>
        <w:t>Determine that the disclosure was potentially malicious.</w:t>
      </w:r>
    </w:p>
    <w:p w:rsidR="00981F2E" w:rsidRPr="00981F2E" w:rsidRDefault="00913708" w:rsidP="002616DA">
      <w:pPr>
        <w:pStyle w:val="ListParagraph"/>
        <w:numPr>
          <w:ilvl w:val="3"/>
          <w:numId w:val="10"/>
        </w:numPr>
        <w:spacing w:after="120"/>
        <w:ind w:left="1701"/>
        <w:rPr>
          <w:rFonts w:cs="Arial"/>
          <w:b/>
        </w:rPr>
      </w:pPr>
      <w:r>
        <w:rPr>
          <w:rFonts w:cs="Arial"/>
        </w:rPr>
        <w:t xml:space="preserve">A determination of a disclosure being potentially malicious requires a high </w:t>
      </w:r>
      <w:r w:rsidR="00981F2E">
        <w:rPr>
          <w:rFonts w:cs="Arial"/>
        </w:rPr>
        <w:t>standard of evidence</w:t>
      </w:r>
      <w:r>
        <w:rPr>
          <w:rFonts w:cs="Arial"/>
        </w:rPr>
        <w:t xml:space="preserve"> </w:t>
      </w:r>
      <w:r w:rsidR="00981F2E">
        <w:rPr>
          <w:rFonts w:cs="Arial"/>
        </w:rPr>
        <w:t xml:space="preserve">to justify the determination.  The Trust seeks to encourage whistleblowing in good faith and to that end whistleblowers must be reassured that a disclosure made in good faith will never lead </w:t>
      </w:r>
      <w:r w:rsidR="00981F2E">
        <w:rPr>
          <w:rFonts w:cs="Arial"/>
        </w:rPr>
        <w:lastRenderedPageBreak/>
        <w:t>to a detrimental position for their employment.  A knowingly false disclosure however would constitute a mis-conduct in itself.</w:t>
      </w:r>
    </w:p>
    <w:p w:rsidR="00D1583D" w:rsidRPr="00203E39" w:rsidRDefault="002616DA" w:rsidP="002616DA">
      <w:pPr>
        <w:pStyle w:val="ListParagraph"/>
        <w:numPr>
          <w:ilvl w:val="3"/>
          <w:numId w:val="10"/>
        </w:numPr>
        <w:spacing w:after="120"/>
        <w:ind w:left="1701"/>
        <w:rPr>
          <w:rFonts w:cs="Arial"/>
          <w:b/>
        </w:rPr>
      </w:pPr>
      <w:r>
        <w:rPr>
          <w:rFonts w:cs="Arial"/>
        </w:rPr>
        <w:t>T</w:t>
      </w:r>
      <w:r w:rsidR="00981F2E">
        <w:rPr>
          <w:rFonts w:cs="Arial"/>
        </w:rPr>
        <w:t xml:space="preserve">he </w:t>
      </w:r>
      <w:r>
        <w:rPr>
          <w:rFonts w:cs="Arial"/>
        </w:rPr>
        <w:t>Internal Auditor</w:t>
      </w:r>
      <w:r w:rsidR="00981F2E">
        <w:rPr>
          <w:rFonts w:cs="Arial"/>
        </w:rPr>
        <w:t xml:space="preserve"> will </w:t>
      </w:r>
      <w:r w:rsidR="00D13CB0">
        <w:rPr>
          <w:rFonts w:cs="Arial"/>
        </w:rPr>
        <w:t>authorize</w:t>
      </w:r>
      <w:r w:rsidR="00981F2E">
        <w:rPr>
          <w:rFonts w:cs="Arial"/>
        </w:rPr>
        <w:t xml:space="preserve"> the </w:t>
      </w:r>
      <w:r w:rsidR="00D13CB0">
        <w:rPr>
          <w:rFonts w:cs="Arial"/>
        </w:rPr>
        <w:t xml:space="preserve">Director </w:t>
      </w:r>
      <w:r w:rsidR="00981F2E">
        <w:rPr>
          <w:rFonts w:cs="Arial"/>
        </w:rPr>
        <w:t xml:space="preserve">of HR to make the necessary arrangements for a disciplinary investigation to be initiated.  </w:t>
      </w:r>
    </w:p>
    <w:p w:rsidR="00203E39" w:rsidRPr="0035062F" w:rsidRDefault="00203E39" w:rsidP="002616DA">
      <w:pPr>
        <w:pStyle w:val="ListParagraph"/>
        <w:numPr>
          <w:ilvl w:val="1"/>
          <w:numId w:val="10"/>
        </w:numPr>
        <w:spacing w:after="120"/>
        <w:ind w:left="1134" w:hanging="425"/>
        <w:rPr>
          <w:rFonts w:cs="Arial"/>
          <w:b/>
        </w:rPr>
      </w:pPr>
      <w:r>
        <w:rPr>
          <w:rFonts w:cs="Arial"/>
        </w:rPr>
        <w:t xml:space="preserve">The </w:t>
      </w:r>
      <w:r w:rsidR="002616DA">
        <w:rPr>
          <w:rFonts w:cs="Arial"/>
        </w:rPr>
        <w:t>Internal Auditor</w:t>
      </w:r>
      <w:r>
        <w:rPr>
          <w:rFonts w:cs="Arial"/>
        </w:rPr>
        <w:t xml:space="preserve"> will maintain a central record of all ‘CONFIDENTIAL – Whistleblowing Disclosure Assessments’ and the actions and outcomes that were taken</w:t>
      </w:r>
      <w:r w:rsidR="0035062F">
        <w:rPr>
          <w:rFonts w:cs="Arial"/>
        </w:rPr>
        <w:t>.</w:t>
      </w:r>
    </w:p>
    <w:p w:rsidR="0035062F" w:rsidRPr="00203E39" w:rsidRDefault="0035062F" w:rsidP="002616DA">
      <w:pPr>
        <w:pStyle w:val="ListParagraph"/>
        <w:numPr>
          <w:ilvl w:val="1"/>
          <w:numId w:val="10"/>
        </w:numPr>
        <w:spacing w:after="120"/>
        <w:ind w:left="1134" w:hanging="425"/>
        <w:rPr>
          <w:rFonts w:cs="Arial"/>
          <w:b/>
        </w:rPr>
      </w:pPr>
      <w:r>
        <w:rPr>
          <w:rFonts w:cs="Arial"/>
        </w:rPr>
        <w:t xml:space="preserve">The </w:t>
      </w:r>
      <w:r w:rsidR="002616DA">
        <w:rPr>
          <w:rFonts w:cs="Arial"/>
        </w:rPr>
        <w:t>Internal Auditor</w:t>
      </w:r>
      <w:r w:rsidR="00087025">
        <w:rPr>
          <w:rFonts w:cs="Arial"/>
        </w:rPr>
        <w:t xml:space="preserve"> will provide the agreed </w:t>
      </w:r>
      <w:r>
        <w:rPr>
          <w:rFonts w:cs="Arial"/>
        </w:rPr>
        <w:t>report of the concern and the actions taken to the Chief Executive Officer.</w:t>
      </w:r>
      <w:r w:rsidR="003304DD">
        <w:rPr>
          <w:rFonts w:cs="Arial"/>
          <w:color w:val="FF0000"/>
        </w:rPr>
        <w:t xml:space="preserve"> </w:t>
      </w:r>
    </w:p>
    <w:p w:rsidR="00203E39" w:rsidRPr="001E2D04" w:rsidRDefault="00203E39" w:rsidP="001E2D04">
      <w:pPr>
        <w:pStyle w:val="Heading1"/>
        <w:spacing w:after="120"/>
      </w:pPr>
      <w:r w:rsidRPr="001E2D04">
        <w:t>Trust</w:t>
      </w:r>
      <w:r w:rsidR="001E2D04">
        <w:t>ee</w:t>
      </w:r>
      <w:r w:rsidRPr="001E2D04">
        <w:t xml:space="preserve"> Risk and Audit Committee</w:t>
      </w:r>
    </w:p>
    <w:p w:rsidR="00203E39" w:rsidRPr="00332270" w:rsidRDefault="00203E39" w:rsidP="001E2D04">
      <w:pPr>
        <w:pStyle w:val="ListParagraph"/>
        <w:numPr>
          <w:ilvl w:val="0"/>
          <w:numId w:val="15"/>
        </w:numPr>
        <w:spacing w:after="120"/>
        <w:rPr>
          <w:rFonts w:cs="Arial"/>
          <w:b/>
        </w:rPr>
      </w:pPr>
      <w:r>
        <w:rPr>
          <w:rFonts w:cs="Arial"/>
        </w:rPr>
        <w:t xml:space="preserve">The </w:t>
      </w:r>
      <w:r w:rsidR="002616DA">
        <w:rPr>
          <w:rFonts w:cs="Arial"/>
        </w:rPr>
        <w:t>Internal Auditor</w:t>
      </w:r>
      <w:r w:rsidR="00087025">
        <w:rPr>
          <w:rFonts w:cs="Arial"/>
        </w:rPr>
        <w:t xml:space="preserve"> will provide the agreed</w:t>
      </w:r>
      <w:r>
        <w:rPr>
          <w:rFonts w:cs="Arial"/>
        </w:rPr>
        <w:t xml:space="preserve"> confidential report to the Trust’s Risk and Audit Committee setting out the </w:t>
      </w:r>
      <w:r w:rsidR="00332270">
        <w:rPr>
          <w:rFonts w:cs="Arial"/>
        </w:rPr>
        <w:t>circumstances</w:t>
      </w:r>
      <w:r>
        <w:rPr>
          <w:rFonts w:cs="Arial"/>
        </w:rPr>
        <w:t xml:space="preserve"> and actions taken for all whistleblowing disclosures.  </w:t>
      </w:r>
      <w:r w:rsidR="001E2D04">
        <w:rPr>
          <w:rFonts w:cs="Arial"/>
        </w:rPr>
        <w:t>The identity and confidentiality of the whistleblower will be protected in these reports and not disclosed.</w:t>
      </w:r>
      <w:r w:rsidR="003304DD">
        <w:rPr>
          <w:rFonts w:cs="Arial"/>
        </w:rPr>
        <w:t xml:space="preserve"> </w:t>
      </w:r>
    </w:p>
    <w:p w:rsidR="00332270" w:rsidRPr="00332270" w:rsidRDefault="00332270" w:rsidP="001E2D04">
      <w:pPr>
        <w:pStyle w:val="ListParagraph"/>
        <w:numPr>
          <w:ilvl w:val="0"/>
          <w:numId w:val="15"/>
        </w:numPr>
        <w:spacing w:after="120"/>
        <w:rPr>
          <w:rFonts w:cs="Arial"/>
          <w:b/>
        </w:rPr>
      </w:pPr>
      <w:r>
        <w:rPr>
          <w:rFonts w:cs="Arial"/>
        </w:rPr>
        <w:t>The Risk and Audit Committee will consider the wider implications and lessons learnt for the Trust.  These considerations will include whether policy and procedures could be improved to better protect the interests of the Trust in the future.</w:t>
      </w:r>
    </w:p>
    <w:p w:rsidR="00332270" w:rsidRPr="00332270" w:rsidRDefault="00332270" w:rsidP="001E2D04">
      <w:pPr>
        <w:pStyle w:val="ListParagraph"/>
        <w:numPr>
          <w:ilvl w:val="0"/>
          <w:numId w:val="15"/>
        </w:numPr>
        <w:spacing w:after="120"/>
        <w:rPr>
          <w:rFonts w:cs="Arial"/>
          <w:b/>
        </w:rPr>
      </w:pPr>
      <w:r>
        <w:rPr>
          <w:rFonts w:cs="Arial"/>
        </w:rPr>
        <w:t xml:space="preserve">The Chair of the Risk and Audit Committee, which may be by way of delegation to the </w:t>
      </w:r>
      <w:r w:rsidR="002616DA">
        <w:rPr>
          <w:rFonts w:cs="Arial"/>
        </w:rPr>
        <w:t>Internal Auditor</w:t>
      </w:r>
      <w:r>
        <w:rPr>
          <w:rFonts w:cs="Arial"/>
        </w:rPr>
        <w:t>, will liaise with the Chair</w:t>
      </w:r>
      <w:r w:rsidR="001D0D78">
        <w:rPr>
          <w:rFonts w:cs="Arial"/>
        </w:rPr>
        <w:t>s</w:t>
      </w:r>
      <w:r>
        <w:rPr>
          <w:rFonts w:cs="Arial"/>
        </w:rPr>
        <w:t xml:space="preserve"> of the relevant Regional Board Risk and Audit Committee</w:t>
      </w:r>
      <w:r w:rsidR="00002438">
        <w:rPr>
          <w:rFonts w:cs="Arial"/>
        </w:rPr>
        <w:t xml:space="preserve"> and</w:t>
      </w:r>
      <w:r w:rsidR="001D0D78">
        <w:rPr>
          <w:rFonts w:cs="Arial"/>
        </w:rPr>
        <w:t>/or</w:t>
      </w:r>
      <w:r w:rsidR="00002438">
        <w:rPr>
          <w:rFonts w:cs="Arial"/>
        </w:rPr>
        <w:t xml:space="preserve"> </w:t>
      </w:r>
      <w:r w:rsidR="001D0D78">
        <w:rPr>
          <w:rFonts w:cs="Arial"/>
        </w:rPr>
        <w:t xml:space="preserve">of </w:t>
      </w:r>
      <w:r w:rsidR="00002438">
        <w:rPr>
          <w:rFonts w:cs="Arial"/>
        </w:rPr>
        <w:t>the Local Governing Body</w:t>
      </w:r>
      <w:r w:rsidR="0035062F">
        <w:rPr>
          <w:rFonts w:cs="Arial"/>
        </w:rPr>
        <w:t xml:space="preserve"> to ensure that outcomes of a whistleblowing disclosure can inform the context of the </w:t>
      </w:r>
      <w:r w:rsidR="00002438">
        <w:rPr>
          <w:rFonts w:cs="Arial"/>
        </w:rPr>
        <w:t xml:space="preserve">work of the </w:t>
      </w:r>
      <w:r w:rsidR="0035062F">
        <w:rPr>
          <w:rFonts w:cs="Arial"/>
        </w:rPr>
        <w:t>regional committee</w:t>
      </w:r>
      <w:r w:rsidR="00002438">
        <w:rPr>
          <w:rFonts w:cs="Arial"/>
        </w:rPr>
        <w:t xml:space="preserve"> and LGB</w:t>
      </w:r>
      <w:r w:rsidR="0035062F">
        <w:rPr>
          <w:rFonts w:cs="Arial"/>
        </w:rPr>
        <w:t>.</w:t>
      </w:r>
    </w:p>
    <w:p w:rsidR="00332270" w:rsidRPr="001E2D04" w:rsidRDefault="00332270" w:rsidP="001E2D04">
      <w:pPr>
        <w:pStyle w:val="ListParagraph"/>
        <w:numPr>
          <w:ilvl w:val="0"/>
          <w:numId w:val="15"/>
        </w:numPr>
        <w:spacing w:after="120"/>
        <w:rPr>
          <w:rFonts w:cs="Arial"/>
          <w:b/>
        </w:rPr>
      </w:pPr>
      <w:r>
        <w:rPr>
          <w:rFonts w:cs="Arial"/>
        </w:rPr>
        <w:t>The Risk and Audit Committee has the authority to initiate further investigations if they consider it necessary.</w:t>
      </w:r>
    </w:p>
    <w:p w:rsidR="00187088" w:rsidRDefault="00187088" w:rsidP="00187088">
      <w:pPr>
        <w:pStyle w:val="Heading1"/>
        <w:spacing w:before="240" w:after="120"/>
      </w:pPr>
      <w:r>
        <w:t>Feedback to employees who are whistleblowing</w:t>
      </w:r>
    </w:p>
    <w:p w:rsidR="001E2D04" w:rsidRDefault="00187088" w:rsidP="00187088">
      <w:pPr>
        <w:pStyle w:val="ListParagraph"/>
        <w:numPr>
          <w:ilvl w:val="0"/>
          <w:numId w:val="16"/>
        </w:numPr>
        <w:spacing w:before="120" w:after="120"/>
        <w:ind w:left="714" w:hanging="357"/>
        <w:rPr>
          <w:rFonts w:cs="Arial"/>
        </w:rPr>
      </w:pPr>
      <w:r w:rsidRPr="00187088">
        <w:rPr>
          <w:rFonts w:cs="Arial"/>
        </w:rPr>
        <w:t xml:space="preserve">Wherever possible feedback will be provided to the employee who raised the disclosure within the limits of the law and the duty </w:t>
      </w:r>
      <w:r>
        <w:rPr>
          <w:rFonts w:cs="Arial"/>
        </w:rPr>
        <w:t xml:space="preserve">of </w:t>
      </w:r>
      <w:r w:rsidRPr="00187088">
        <w:rPr>
          <w:rFonts w:cs="Arial"/>
        </w:rPr>
        <w:t>confidentiality to other members of staff.</w:t>
      </w:r>
    </w:p>
    <w:p w:rsidR="00187088" w:rsidRDefault="00187088" w:rsidP="00187088">
      <w:pPr>
        <w:pStyle w:val="ListParagraph"/>
        <w:numPr>
          <w:ilvl w:val="0"/>
          <w:numId w:val="16"/>
        </w:numPr>
        <w:spacing w:before="120" w:after="120"/>
        <w:ind w:left="714" w:hanging="357"/>
        <w:rPr>
          <w:rFonts w:cs="Arial"/>
        </w:rPr>
      </w:pPr>
      <w:r>
        <w:rPr>
          <w:rFonts w:cs="Arial"/>
        </w:rPr>
        <w:t>The manger that conducted the disclosure interview should provide the employee that raised the concern with an estimate of the timings for next steps and actions.</w:t>
      </w:r>
    </w:p>
    <w:p w:rsidR="00187088" w:rsidRDefault="00187088" w:rsidP="00187088">
      <w:pPr>
        <w:pStyle w:val="ListParagraph"/>
        <w:numPr>
          <w:ilvl w:val="0"/>
          <w:numId w:val="16"/>
        </w:numPr>
        <w:spacing w:before="120" w:after="120"/>
        <w:ind w:left="714" w:hanging="357"/>
        <w:rPr>
          <w:rFonts w:cs="Arial"/>
        </w:rPr>
      </w:pPr>
      <w:r>
        <w:rPr>
          <w:rFonts w:cs="Arial"/>
        </w:rPr>
        <w:t xml:space="preserve">The whistleblowing procedures provide examples of the nature of specific types of feedback under certain circumstances.  The limits of </w:t>
      </w:r>
      <w:r>
        <w:rPr>
          <w:rFonts w:cs="Arial"/>
        </w:rPr>
        <w:lastRenderedPageBreak/>
        <w:t>information that can be fed back must be made clear at the outset.</w:t>
      </w:r>
    </w:p>
    <w:p w:rsidR="00187088" w:rsidRDefault="00187088" w:rsidP="00187088">
      <w:pPr>
        <w:pStyle w:val="ListParagraph"/>
        <w:numPr>
          <w:ilvl w:val="0"/>
          <w:numId w:val="16"/>
        </w:numPr>
        <w:spacing w:before="120" w:after="120"/>
        <w:ind w:left="714" w:hanging="357"/>
        <w:rPr>
          <w:rFonts w:cs="Arial"/>
        </w:rPr>
      </w:pPr>
      <w:r>
        <w:rPr>
          <w:rFonts w:cs="Arial"/>
        </w:rPr>
        <w:t>The employee who raised the concern should be told when the process has been concluded and what the conclusion was but again within the limits of law and duty of confidentiality to other employees.</w:t>
      </w:r>
    </w:p>
    <w:p w:rsidR="00187088" w:rsidRDefault="00187088" w:rsidP="00187088">
      <w:pPr>
        <w:pStyle w:val="Heading1"/>
      </w:pPr>
      <w:r>
        <w:t>Independent information and advice for employees concerned about ‘blowing the whistle’</w:t>
      </w:r>
    </w:p>
    <w:p w:rsidR="00187088" w:rsidRDefault="00E07B25" w:rsidP="00E07B25">
      <w:pPr>
        <w:pStyle w:val="ListParagraph"/>
        <w:numPr>
          <w:ilvl w:val="0"/>
          <w:numId w:val="17"/>
        </w:numPr>
        <w:spacing w:before="120" w:after="120"/>
        <w:ind w:left="714" w:hanging="357"/>
      </w:pPr>
      <w:r>
        <w:t>Independent information and advice for employees concerned about whistle blowing</w:t>
      </w:r>
      <w:r w:rsidR="00E935C2">
        <w:t xml:space="preserve"> can be obtained from their trade union or professional association.</w:t>
      </w:r>
    </w:p>
    <w:p w:rsidR="00E935C2" w:rsidRPr="00187088" w:rsidRDefault="00E935C2" w:rsidP="00E07B25">
      <w:pPr>
        <w:pStyle w:val="ListParagraph"/>
        <w:numPr>
          <w:ilvl w:val="0"/>
          <w:numId w:val="17"/>
        </w:numPr>
        <w:spacing w:before="120" w:after="120"/>
        <w:ind w:left="714" w:hanging="357"/>
      </w:pPr>
      <w:r>
        <w:t xml:space="preserve">Information can also be obtained from the ‘Public Concern at Work’ website </w:t>
      </w:r>
      <w:hyperlink r:id="rId12" w:history="1">
        <w:r w:rsidRPr="008E5498">
          <w:rPr>
            <w:rStyle w:val="Hyperlink"/>
          </w:rPr>
          <w:t>http://www.pcaw.org.uk</w:t>
        </w:r>
      </w:hyperlink>
      <w:r>
        <w:t xml:space="preserve"> </w:t>
      </w:r>
    </w:p>
    <w:p w:rsidR="001E2D04" w:rsidRDefault="00E935C2" w:rsidP="00E935C2">
      <w:pPr>
        <w:pStyle w:val="Heading1"/>
      </w:pPr>
      <w:r>
        <w:t>Blowing the whistle to the relevant prescribed person(s)</w:t>
      </w:r>
    </w:p>
    <w:p w:rsidR="00E935C2" w:rsidRDefault="00E935C2" w:rsidP="00E935C2">
      <w:r>
        <w:t xml:space="preserve">In general if a worker makes a disclosure </w:t>
      </w:r>
      <w:r w:rsidR="00866A33">
        <w:t>to an external body they may lo</w:t>
      </w:r>
      <w:r>
        <w:t xml:space="preserve">se their whistleblowing rights and protections.  There are some exceptions to this however, known as </w:t>
      </w:r>
      <w:r w:rsidR="00F20CF5" w:rsidRPr="00F20CF5">
        <w:rPr>
          <w:b/>
        </w:rPr>
        <w:t>prescribed people and bodies</w:t>
      </w:r>
      <w:r w:rsidR="00F20CF5">
        <w:t xml:space="preserve">.  A full list of such people and bodies can be downloaded at </w:t>
      </w:r>
      <w:hyperlink r:id="rId13" w:history="1">
        <w:r w:rsidR="00F20CF5" w:rsidRPr="008E5498">
          <w:rPr>
            <w:rStyle w:val="Hyperlink"/>
          </w:rPr>
          <w:t>https://www.gov.uk/government/publications/blowing-the-whistle-list-of-prescribed-people-and-bodies--2</w:t>
        </w:r>
      </w:hyperlink>
      <w:r w:rsidR="00F20CF5">
        <w:t xml:space="preserve"> </w:t>
      </w:r>
    </w:p>
    <w:p w:rsidR="00FC3A88" w:rsidRDefault="00FC3A88">
      <w:pPr>
        <w:spacing w:before="0" w:after="0"/>
      </w:pPr>
      <w:r>
        <w:t>The list includes, but is not limited to, the following:</w:t>
      </w:r>
    </w:p>
    <w:p w:rsidR="00FC3A88" w:rsidRPr="00656AD9" w:rsidRDefault="00FC3A88" w:rsidP="00474EDF">
      <w:pPr>
        <w:pStyle w:val="ListParagraph"/>
        <w:numPr>
          <w:ilvl w:val="0"/>
          <w:numId w:val="20"/>
        </w:numPr>
        <w:rPr>
          <w:rFonts w:ascii="Arial" w:hAnsi="Arial" w:cs="Arial"/>
        </w:rPr>
      </w:pPr>
      <w:r w:rsidRPr="00656AD9">
        <w:rPr>
          <w:rFonts w:ascii="Arial" w:hAnsi="Arial" w:cs="Arial"/>
        </w:rPr>
        <w:t>The police</w:t>
      </w:r>
    </w:p>
    <w:p w:rsidR="00FC3A88" w:rsidRPr="00656AD9" w:rsidRDefault="00FC3A88" w:rsidP="00474EDF">
      <w:pPr>
        <w:pStyle w:val="ListParagraph"/>
        <w:numPr>
          <w:ilvl w:val="0"/>
          <w:numId w:val="20"/>
        </w:numPr>
        <w:rPr>
          <w:rFonts w:ascii="Arial" w:hAnsi="Arial" w:cs="Arial"/>
        </w:rPr>
      </w:pPr>
      <w:r w:rsidRPr="00656AD9">
        <w:rPr>
          <w:rFonts w:ascii="Arial" w:hAnsi="Arial" w:cs="Arial"/>
        </w:rPr>
        <w:t>The DfE/EFA</w:t>
      </w:r>
    </w:p>
    <w:p w:rsidR="00FC3A88" w:rsidRPr="00656AD9" w:rsidRDefault="00FC3A88" w:rsidP="00474EDF">
      <w:pPr>
        <w:pStyle w:val="ListParagraph"/>
        <w:numPr>
          <w:ilvl w:val="0"/>
          <w:numId w:val="20"/>
        </w:numPr>
        <w:rPr>
          <w:rFonts w:ascii="Arial" w:hAnsi="Arial" w:cs="Arial"/>
        </w:rPr>
      </w:pPr>
      <w:r w:rsidRPr="00656AD9">
        <w:rPr>
          <w:rFonts w:ascii="Arial" w:hAnsi="Arial" w:cs="Arial"/>
        </w:rPr>
        <w:t>Member of Parliament</w:t>
      </w:r>
    </w:p>
    <w:p w:rsidR="00FC3A88" w:rsidRDefault="00FC3A88" w:rsidP="00656AD9">
      <w:pPr>
        <w:pStyle w:val="ListParagraph"/>
        <w:numPr>
          <w:ilvl w:val="0"/>
          <w:numId w:val="20"/>
        </w:numPr>
        <w:ind w:left="714" w:hanging="357"/>
        <w:rPr>
          <w:rFonts w:ascii="Arial" w:hAnsi="Arial" w:cs="Arial"/>
        </w:rPr>
      </w:pPr>
      <w:r w:rsidRPr="00656AD9">
        <w:rPr>
          <w:rFonts w:ascii="Arial" w:hAnsi="Arial" w:cs="Arial"/>
        </w:rPr>
        <w:t>National Audit office</w:t>
      </w:r>
    </w:p>
    <w:p w:rsidR="00D13CB0" w:rsidRPr="00656AD9" w:rsidRDefault="00D13CB0" w:rsidP="00656AD9">
      <w:pPr>
        <w:pStyle w:val="ListParagraph"/>
        <w:numPr>
          <w:ilvl w:val="0"/>
          <w:numId w:val="20"/>
        </w:numPr>
        <w:ind w:left="714" w:hanging="357"/>
        <w:rPr>
          <w:rFonts w:ascii="Arial" w:hAnsi="Arial" w:cs="Arial"/>
        </w:rPr>
      </w:pPr>
      <w:r>
        <w:rPr>
          <w:rFonts w:ascii="Arial" w:hAnsi="Arial" w:cs="Arial"/>
        </w:rPr>
        <w:t>Health and Safety Executive (HSE)</w:t>
      </w:r>
    </w:p>
    <w:p w:rsidR="00F20CF5" w:rsidRDefault="00F20CF5" w:rsidP="00F20CF5">
      <w:pPr>
        <w:pStyle w:val="Heading1"/>
      </w:pPr>
      <w:r>
        <w:t>Supporting colleagues who have ‘blown the whistle’</w:t>
      </w:r>
    </w:p>
    <w:p w:rsidR="00F20CF5" w:rsidRDefault="00F20CF5" w:rsidP="00F20CF5">
      <w:r>
        <w:t xml:space="preserve">Making a disclosure where one suspect that wrongdoing has, is or is about to happen, is a professional duty.  However, it may still be a difficult, stressful and anxious situation for many people.  Whistleblowing is about doing the right thing with integrity.  Those who step forward to do the right thing </w:t>
      </w:r>
      <w:r w:rsidR="00E50E94">
        <w:t>must be fully supported through</w:t>
      </w:r>
      <w:r>
        <w:t>out the process and afterwards.  They must be provided with clear lines of communication where they can get support from within the organisation.  Whistleblowers will be provided with direct contact information for the Regional HR Consultant who can provide advice, support and interventions if required.</w:t>
      </w:r>
    </w:p>
    <w:p w:rsidR="001D1B7E" w:rsidRDefault="001D1B7E" w:rsidP="001D1B7E">
      <w:pPr>
        <w:pStyle w:val="Heading1"/>
      </w:pPr>
      <w:r>
        <w:lastRenderedPageBreak/>
        <w:t>Training and Development</w:t>
      </w:r>
    </w:p>
    <w:p w:rsidR="001D1B7E" w:rsidRDefault="005A7836" w:rsidP="005A7836">
      <w:pPr>
        <w:pStyle w:val="ListParagraph"/>
        <w:numPr>
          <w:ilvl w:val="0"/>
          <w:numId w:val="18"/>
        </w:numPr>
        <w:spacing w:before="120" w:after="120"/>
        <w:ind w:left="714" w:hanging="357"/>
      </w:pPr>
      <w:r>
        <w:t>All team leaders, school based and central teams, will provide training opportunities for staff on the process of making a disclosure annually.  The process will be included in all staff induction.</w:t>
      </w:r>
    </w:p>
    <w:p w:rsidR="005A7836" w:rsidRDefault="005A7836" w:rsidP="005A7836">
      <w:pPr>
        <w:pStyle w:val="ListParagraph"/>
        <w:numPr>
          <w:ilvl w:val="0"/>
          <w:numId w:val="18"/>
        </w:numPr>
        <w:spacing w:before="120" w:after="120"/>
        <w:ind w:left="714" w:hanging="357"/>
      </w:pPr>
      <w:r>
        <w:t>All team leaders will ensure that managers that might conduct a disclosure interview are familiar with the process and that this is refreshed on an annual basis.</w:t>
      </w:r>
    </w:p>
    <w:p w:rsidR="005A7836" w:rsidRDefault="005A7836" w:rsidP="005A7836">
      <w:pPr>
        <w:pStyle w:val="ListParagraph"/>
        <w:numPr>
          <w:ilvl w:val="0"/>
          <w:numId w:val="18"/>
        </w:numPr>
        <w:spacing w:before="120" w:after="120"/>
        <w:ind w:left="714" w:hanging="357"/>
      </w:pPr>
      <w:r>
        <w:t>The Trust’s HR team will maintain a central register of training completed for each school and team that will be updated annually.</w:t>
      </w:r>
    </w:p>
    <w:p w:rsidR="00656AD9" w:rsidRDefault="00656AD9">
      <w:pPr>
        <w:spacing w:before="0" w:after="0"/>
      </w:pPr>
      <w:r>
        <w:br w:type="page"/>
      </w:r>
    </w:p>
    <w:p w:rsidR="00050E0B" w:rsidRDefault="00050E0B" w:rsidP="00050E0B">
      <w:pPr>
        <w:pStyle w:val="Heading1"/>
      </w:pPr>
      <w:r>
        <w:lastRenderedPageBreak/>
        <w:t>Annex – whistleblowing flowchart</w:t>
      </w:r>
    </w:p>
    <w:p w:rsidR="005A7836" w:rsidRPr="001D1B7E" w:rsidRDefault="00050E0B" w:rsidP="005A7836">
      <w:pPr>
        <w:spacing w:after="120"/>
      </w:pPr>
      <w:r>
        <w:rPr>
          <w:noProof/>
          <w:lang w:eastAsia="en-GB"/>
        </w:rPr>
        <w:drawing>
          <wp:inline distT="0" distB="0" distL="0" distR="0">
            <wp:extent cx="5473700" cy="761625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6359" t="23544" r="36431" b="9147"/>
                    <a:stretch/>
                  </pic:blipFill>
                  <pic:spPr bwMode="auto">
                    <a:xfrm>
                      <a:off x="0" y="0"/>
                      <a:ext cx="5486138" cy="7633560"/>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sectPr w:rsidR="005A7836" w:rsidRPr="001D1B7E" w:rsidSect="007E6328">
      <w:footerReference w:type="even" r:id="rId15"/>
      <w:footerReference w:type="default" r:id="rId16"/>
      <w:pgSz w:w="11900" w:h="16840"/>
      <w:pgMar w:top="2240" w:right="1797" w:bottom="1985" w:left="1797" w:header="709" w:footer="9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653" w:rsidRDefault="00C02653" w:rsidP="00FC4714">
      <w:pPr>
        <w:spacing w:before="0" w:after="0"/>
      </w:pPr>
      <w:r>
        <w:separator/>
      </w:r>
    </w:p>
  </w:endnote>
  <w:endnote w:type="continuationSeparator" w:id="0">
    <w:p w:rsidR="00C02653" w:rsidRDefault="00C02653" w:rsidP="00FC471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F5" w:rsidRDefault="0007402B" w:rsidP="008E28BD">
    <w:pPr>
      <w:pStyle w:val="Footer"/>
      <w:framePr w:wrap="around" w:vAnchor="text" w:hAnchor="margin" w:xAlign="center" w:y="1"/>
      <w:rPr>
        <w:rStyle w:val="PageNumber"/>
      </w:rPr>
    </w:pPr>
    <w:r>
      <w:rPr>
        <w:rStyle w:val="PageNumber"/>
      </w:rPr>
      <w:fldChar w:fldCharType="begin"/>
    </w:r>
    <w:r w:rsidR="00F20CF5">
      <w:rPr>
        <w:rStyle w:val="PageNumber"/>
      </w:rPr>
      <w:instrText xml:space="preserve">PAGE  </w:instrText>
    </w:r>
    <w:r>
      <w:rPr>
        <w:rStyle w:val="PageNumber"/>
      </w:rPr>
      <w:fldChar w:fldCharType="end"/>
    </w:r>
  </w:p>
  <w:p w:rsidR="00F20CF5" w:rsidRDefault="00F20C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F5" w:rsidRDefault="00F20CF5" w:rsidP="007E6328">
    <w:pPr>
      <w:pStyle w:val="Footer"/>
      <w:rPr>
        <w:sz w:val="20"/>
      </w:rPr>
    </w:pPr>
    <w:r w:rsidRPr="007E6328">
      <w:rPr>
        <w:sz w:val="20"/>
      </w:rPr>
      <w:t>REAch2 Academy Trust</w:t>
    </w:r>
    <w:r>
      <w:rPr>
        <w:sz w:val="20"/>
      </w:rPr>
      <w:t>, Company Number: 8452281, Registered in England and Wales; Registered Address: Scientia Academy, Mona Road, Burton Upon Trent, DE13 0UF</w:t>
    </w:r>
  </w:p>
  <w:p w:rsidR="00F20CF5" w:rsidRPr="007E6328" w:rsidRDefault="00F20CF5" w:rsidP="007E6328">
    <w:pPr>
      <w:pStyle w:val="Footer"/>
      <w:rPr>
        <w:sz w:val="20"/>
      </w:rPr>
    </w:pPr>
    <w:r>
      <w:t xml:space="preserve"> </w:t>
    </w:r>
  </w:p>
  <w:p w:rsidR="00F20CF5" w:rsidRPr="007E6328" w:rsidRDefault="00F20CF5" w:rsidP="007E6328">
    <w:pPr>
      <w:pStyle w:val="Footer"/>
      <w:jc w:val="center"/>
      <w:rPr>
        <w:sz w:val="20"/>
      </w:rPr>
    </w:pPr>
    <w:r w:rsidRPr="00FC4714">
      <w:t xml:space="preserve">Page </w:t>
    </w:r>
    <w:r w:rsidR="0007402B" w:rsidRPr="00FC4714">
      <w:fldChar w:fldCharType="begin"/>
    </w:r>
    <w:r w:rsidRPr="00FC4714">
      <w:instrText xml:space="preserve"> PAGE </w:instrText>
    </w:r>
    <w:r w:rsidR="0007402B" w:rsidRPr="00FC4714">
      <w:fldChar w:fldCharType="separate"/>
    </w:r>
    <w:r w:rsidR="00354272">
      <w:rPr>
        <w:noProof/>
      </w:rPr>
      <w:t>1</w:t>
    </w:r>
    <w:r w:rsidR="0007402B" w:rsidRPr="00FC4714">
      <w:fldChar w:fldCharType="end"/>
    </w:r>
    <w:r w:rsidRPr="00FC4714">
      <w:t xml:space="preserve"> of </w:t>
    </w:r>
    <w:r w:rsidR="0007402B" w:rsidRPr="00FC4714">
      <w:fldChar w:fldCharType="begin"/>
    </w:r>
    <w:r w:rsidRPr="00FC4714">
      <w:instrText xml:space="preserve"> NUMPAGES </w:instrText>
    </w:r>
    <w:r w:rsidR="0007402B" w:rsidRPr="00FC4714">
      <w:fldChar w:fldCharType="separate"/>
    </w:r>
    <w:r w:rsidR="00354272">
      <w:rPr>
        <w:noProof/>
      </w:rPr>
      <w:t>14</w:t>
    </w:r>
    <w:r w:rsidR="0007402B" w:rsidRPr="00FC4714">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653" w:rsidRDefault="00C02653" w:rsidP="00FC4714">
      <w:pPr>
        <w:spacing w:before="0" w:after="0"/>
      </w:pPr>
      <w:r>
        <w:separator/>
      </w:r>
    </w:p>
  </w:footnote>
  <w:footnote w:type="continuationSeparator" w:id="0">
    <w:p w:rsidR="00C02653" w:rsidRDefault="00C02653" w:rsidP="00FC471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ï"/>
      <w:lvlJc w:val="left"/>
      <w:pPr>
        <w:ind w:left="832" w:hanging="360"/>
      </w:pPr>
      <w:rPr>
        <w:rFonts w:ascii="Arial" w:hAnsi="Arial" w:cs="Arial"/>
        <w:b w:val="0"/>
        <w:bCs w:val="0"/>
        <w:w w:val="131"/>
        <w:sz w:val="24"/>
        <w:szCs w:val="24"/>
      </w:rPr>
    </w:lvl>
    <w:lvl w:ilvl="1">
      <w:numFmt w:val="bullet"/>
      <w:lvlText w:val="ï"/>
      <w:lvlJc w:val="left"/>
      <w:pPr>
        <w:ind w:left="1738" w:hanging="360"/>
      </w:pPr>
    </w:lvl>
    <w:lvl w:ilvl="2">
      <w:numFmt w:val="bullet"/>
      <w:lvlText w:val="ï"/>
      <w:lvlJc w:val="left"/>
      <w:pPr>
        <w:ind w:left="2637" w:hanging="360"/>
      </w:pPr>
    </w:lvl>
    <w:lvl w:ilvl="3">
      <w:numFmt w:val="bullet"/>
      <w:lvlText w:val="ï"/>
      <w:lvlJc w:val="left"/>
      <w:pPr>
        <w:ind w:left="3535" w:hanging="360"/>
      </w:pPr>
    </w:lvl>
    <w:lvl w:ilvl="4">
      <w:numFmt w:val="bullet"/>
      <w:lvlText w:val="ï"/>
      <w:lvlJc w:val="left"/>
      <w:pPr>
        <w:ind w:left="4434" w:hanging="360"/>
      </w:pPr>
    </w:lvl>
    <w:lvl w:ilvl="5">
      <w:numFmt w:val="bullet"/>
      <w:lvlText w:val="ï"/>
      <w:lvlJc w:val="left"/>
      <w:pPr>
        <w:ind w:left="5333" w:hanging="360"/>
      </w:pPr>
    </w:lvl>
    <w:lvl w:ilvl="6">
      <w:numFmt w:val="bullet"/>
      <w:lvlText w:val="ï"/>
      <w:lvlJc w:val="left"/>
      <w:pPr>
        <w:ind w:left="6231" w:hanging="360"/>
      </w:pPr>
    </w:lvl>
    <w:lvl w:ilvl="7">
      <w:numFmt w:val="bullet"/>
      <w:lvlText w:val="ï"/>
      <w:lvlJc w:val="left"/>
      <w:pPr>
        <w:ind w:left="7130" w:hanging="360"/>
      </w:pPr>
    </w:lvl>
    <w:lvl w:ilvl="8">
      <w:numFmt w:val="bullet"/>
      <w:lvlText w:val="ï"/>
      <w:lvlJc w:val="left"/>
      <w:pPr>
        <w:ind w:left="8029" w:hanging="360"/>
      </w:pPr>
    </w:lvl>
  </w:abstractNum>
  <w:abstractNum w:abstractNumId="1">
    <w:nsid w:val="03690F69"/>
    <w:multiLevelType w:val="hybridMultilevel"/>
    <w:tmpl w:val="B5EEFF28"/>
    <w:lvl w:ilvl="0" w:tplc="CB26E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D7CCE"/>
    <w:multiLevelType w:val="hybridMultilevel"/>
    <w:tmpl w:val="B936F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5848"/>
    <w:multiLevelType w:val="hybridMultilevel"/>
    <w:tmpl w:val="11844560"/>
    <w:lvl w:ilvl="0" w:tplc="CB26E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3193E"/>
    <w:multiLevelType w:val="multilevel"/>
    <w:tmpl w:val="768AF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8E34FB"/>
    <w:multiLevelType w:val="hybridMultilevel"/>
    <w:tmpl w:val="68923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2C528D"/>
    <w:multiLevelType w:val="hybridMultilevel"/>
    <w:tmpl w:val="79E4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F57381"/>
    <w:multiLevelType w:val="multilevel"/>
    <w:tmpl w:val="6C80E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C04DA2"/>
    <w:multiLevelType w:val="multilevel"/>
    <w:tmpl w:val="DF7086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C393513"/>
    <w:multiLevelType w:val="multilevel"/>
    <w:tmpl w:val="2B6882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5AA6A6E"/>
    <w:multiLevelType w:val="hybridMultilevel"/>
    <w:tmpl w:val="7542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A28F3"/>
    <w:multiLevelType w:val="hybridMultilevel"/>
    <w:tmpl w:val="391AE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B673FB"/>
    <w:multiLevelType w:val="hybridMultilevel"/>
    <w:tmpl w:val="EA3CC242"/>
    <w:lvl w:ilvl="0" w:tplc="FB8E1DB6">
      <w:start w:val="1"/>
      <w:numFmt w:val="decimal"/>
      <w:lvlText w:val="%1."/>
      <w:lvlJc w:val="left"/>
      <w:pPr>
        <w:ind w:left="360" w:hanging="360"/>
      </w:pPr>
      <w:rPr>
        <w:rFonts w:ascii="Arial" w:hAnsi="Arial" w:hint="default"/>
        <w:b w:val="0"/>
        <w:bCs w:val="0"/>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B77C3F"/>
    <w:multiLevelType w:val="multilevel"/>
    <w:tmpl w:val="B936F8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9074BB2"/>
    <w:multiLevelType w:val="hybridMultilevel"/>
    <w:tmpl w:val="768A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2641B"/>
    <w:multiLevelType w:val="hybridMultilevel"/>
    <w:tmpl w:val="6AF485EE"/>
    <w:lvl w:ilvl="0" w:tplc="CB26E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1A180F"/>
    <w:multiLevelType w:val="hybridMultilevel"/>
    <w:tmpl w:val="62F2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F582D"/>
    <w:multiLevelType w:val="hybridMultilevel"/>
    <w:tmpl w:val="DF708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CD007A"/>
    <w:multiLevelType w:val="hybridMultilevel"/>
    <w:tmpl w:val="0ECA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E74BC4"/>
    <w:multiLevelType w:val="hybridMultilevel"/>
    <w:tmpl w:val="E63E5A30"/>
    <w:lvl w:ilvl="0" w:tplc="CB26E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12"/>
  </w:num>
  <w:num w:numId="5">
    <w:abstractNumId w:val="7"/>
  </w:num>
  <w:num w:numId="6">
    <w:abstractNumId w:val="16"/>
  </w:num>
  <w:num w:numId="7">
    <w:abstractNumId w:val="10"/>
  </w:num>
  <w:num w:numId="8">
    <w:abstractNumId w:val="14"/>
  </w:num>
  <w:num w:numId="9">
    <w:abstractNumId w:val="4"/>
  </w:num>
  <w:num w:numId="10">
    <w:abstractNumId w:val="2"/>
  </w:num>
  <w:num w:numId="11">
    <w:abstractNumId w:val="17"/>
  </w:num>
  <w:num w:numId="12">
    <w:abstractNumId w:val="8"/>
  </w:num>
  <w:num w:numId="13">
    <w:abstractNumId w:val="9"/>
  </w:num>
  <w:num w:numId="14">
    <w:abstractNumId w:val="13"/>
  </w:num>
  <w:num w:numId="15">
    <w:abstractNumId w:val="15"/>
  </w:num>
  <w:num w:numId="16">
    <w:abstractNumId w:val="1"/>
  </w:num>
  <w:num w:numId="17">
    <w:abstractNumId w:val="3"/>
  </w:num>
  <w:num w:numId="18">
    <w:abstractNumId w:val="19"/>
  </w:num>
  <w:num w:numId="19">
    <w:abstractNumId w:val="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
  <w:rsids>
    <w:rsidRoot w:val="0099073D"/>
    <w:rsid w:val="00002438"/>
    <w:rsid w:val="00025A50"/>
    <w:rsid w:val="00050E0B"/>
    <w:rsid w:val="0007402B"/>
    <w:rsid w:val="000850C5"/>
    <w:rsid w:val="0008619D"/>
    <w:rsid w:val="00087025"/>
    <w:rsid w:val="000F19E1"/>
    <w:rsid w:val="000F750F"/>
    <w:rsid w:val="00187088"/>
    <w:rsid w:val="001C344F"/>
    <w:rsid w:val="001D0D78"/>
    <w:rsid w:val="001D1B7E"/>
    <w:rsid w:val="001E2D04"/>
    <w:rsid w:val="001E74B2"/>
    <w:rsid w:val="00203E39"/>
    <w:rsid w:val="00226CD3"/>
    <w:rsid w:val="00260761"/>
    <w:rsid w:val="002616DA"/>
    <w:rsid w:val="00265943"/>
    <w:rsid w:val="00280421"/>
    <w:rsid w:val="002A6116"/>
    <w:rsid w:val="002B0873"/>
    <w:rsid w:val="002D03FD"/>
    <w:rsid w:val="00302D3D"/>
    <w:rsid w:val="0030655B"/>
    <w:rsid w:val="00310071"/>
    <w:rsid w:val="0031272C"/>
    <w:rsid w:val="003304DD"/>
    <w:rsid w:val="00332270"/>
    <w:rsid w:val="00337361"/>
    <w:rsid w:val="00342115"/>
    <w:rsid w:val="0035062F"/>
    <w:rsid w:val="00354272"/>
    <w:rsid w:val="00363691"/>
    <w:rsid w:val="00394188"/>
    <w:rsid w:val="003A6B5D"/>
    <w:rsid w:val="003B0A34"/>
    <w:rsid w:val="003B73E8"/>
    <w:rsid w:val="003D62B0"/>
    <w:rsid w:val="003F409B"/>
    <w:rsid w:val="00412C6B"/>
    <w:rsid w:val="00413625"/>
    <w:rsid w:val="00436F49"/>
    <w:rsid w:val="00442819"/>
    <w:rsid w:val="004601A1"/>
    <w:rsid w:val="0046074C"/>
    <w:rsid w:val="0046229D"/>
    <w:rsid w:val="0046380A"/>
    <w:rsid w:val="00474EDF"/>
    <w:rsid w:val="00491D11"/>
    <w:rsid w:val="004921F3"/>
    <w:rsid w:val="004B0361"/>
    <w:rsid w:val="004B4648"/>
    <w:rsid w:val="004E2FD1"/>
    <w:rsid w:val="004E3929"/>
    <w:rsid w:val="00504FFD"/>
    <w:rsid w:val="005138B0"/>
    <w:rsid w:val="00561336"/>
    <w:rsid w:val="00586279"/>
    <w:rsid w:val="005925E1"/>
    <w:rsid w:val="005A6F6C"/>
    <w:rsid w:val="005A7836"/>
    <w:rsid w:val="005B3332"/>
    <w:rsid w:val="005D3726"/>
    <w:rsid w:val="0061235D"/>
    <w:rsid w:val="00656AD9"/>
    <w:rsid w:val="00692F4E"/>
    <w:rsid w:val="006C0085"/>
    <w:rsid w:val="006C09B1"/>
    <w:rsid w:val="006D1996"/>
    <w:rsid w:val="007410AE"/>
    <w:rsid w:val="0074760F"/>
    <w:rsid w:val="007609B2"/>
    <w:rsid w:val="00793161"/>
    <w:rsid w:val="007B214E"/>
    <w:rsid w:val="007B5626"/>
    <w:rsid w:val="007B7043"/>
    <w:rsid w:val="007C52E7"/>
    <w:rsid w:val="007E6328"/>
    <w:rsid w:val="007F1A90"/>
    <w:rsid w:val="00816494"/>
    <w:rsid w:val="00822E2A"/>
    <w:rsid w:val="0086528B"/>
    <w:rsid w:val="00866A33"/>
    <w:rsid w:val="008A2189"/>
    <w:rsid w:val="008C6907"/>
    <w:rsid w:val="008E28BD"/>
    <w:rsid w:val="00913708"/>
    <w:rsid w:val="00925539"/>
    <w:rsid w:val="009651B0"/>
    <w:rsid w:val="00981F2E"/>
    <w:rsid w:val="0099073D"/>
    <w:rsid w:val="009A0AFA"/>
    <w:rsid w:val="009A0F19"/>
    <w:rsid w:val="009B60E5"/>
    <w:rsid w:val="009D4E76"/>
    <w:rsid w:val="00A022F6"/>
    <w:rsid w:val="00A27B7E"/>
    <w:rsid w:val="00A6412A"/>
    <w:rsid w:val="00A91F37"/>
    <w:rsid w:val="00AA26CB"/>
    <w:rsid w:val="00AB11A8"/>
    <w:rsid w:val="00AC3A4D"/>
    <w:rsid w:val="00AC4265"/>
    <w:rsid w:val="00AE5D2D"/>
    <w:rsid w:val="00AE672A"/>
    <w:rsid w:val="00B0736D"/>
    <w:rsid w:val="00B33964"/>
    <w:rsid w:val="00B8471C"/>
    <w:rsid w:val="00B97B71"/>
    <w:rsid w:val="00BC1D2C"/>
    <w:rsid w:val="00C02653"/>
    <w:rsid w:val="00C160B3"/>
    <w:rsid w:val="00C93063"/>
    <w:rsid w:val="00CC6829"/>
    <w:rsid w:val="00D13CB0"/>
    <w:rsid w:val="00D1583D"/>
    <w:rsid w:val="00D44BAA"/>
    <w:rsid w:val="00D9792F"/>
    <w:rsid w:val="00DC608F"/>
    <w:rsid w:val="00DE2876"/>
    <w:rsid w:val="00DF0B00"/>
    <w:rsid w:val="00E053A4"/>
    <w:rsid w:val="00E07B25"/>
    <w:rsid w:val="00E25538"/>
    <w:rsid w:val="00E50E94"/>
    <w:rsid w:val="00E77C8D"/>
    <w:rsid w:val="00E935C2"/>
    <w:rsid w:val="00E95497"/>
    <w:rsid w:val="00E97BB6"/>
    <w:rsid w:val="00EB1B97"/>
    <w:rsid w:val="00EB7127"/>
    <w:rsid w:val="00EB7353"/>
    <w:rsid w:val="00F13D39"/>
    <w:rsid w:val="00F20CF5"/>
    <w:rsid w:val="00F27AFF"/>
    <w:rsid w:val="00F532CC"/>
    <w:rsid w:val="00F637E5"/>
    <w:rsid w:val="00FC3A88"/>
    <w:rsid w:val="00FC4714"/>
    <w:rsid w:val="00FD2FCB"/>
    <w:rsid w:val="00FD4D23"/>
    <w:rsid w:val="00FE49AB"/>
    <w:rsid w:val="00FF4E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6B"/>
    <w:pPr>
      <w:spacing w:before="120" w:after="320"/>
    </w:pPr>
    <w:rPr>
      <w:rFonts w:ascii="Arial" w:eastAsia="Times New Roman" w:hAnsi="Arial" w:cs="Times New Roman"/>
      <w:szCs w:val="20"/>
      <w:lang w:val="en-GB"/>
    </w:rPr>
  </w:style>
  <w:style w:type="paragraph" w:styleId="Heading1">
    <w:name w:val="heading 1"/>
    <w:basedOn w:val="Normal"/>
    <w:next w:val="Normal"/>
    <w:link w:val="Heading1Char"/>
    <w:uiPriority w:val="9"/>
    <w:qFormat/>
    <w:rsid w:val="00436F49"/>
    <w:pPr>
      <w:keepNext/>
      <w:keepLines/>
      <w:spacing w:before="480" w:after="0"/>
      <w:outlineLvl w:val="0"/>
    </w:pPr>
    <w:rPr>
      <w:rFonts w:eastAsiaTheme="majorEastAsia" w:cstheme="majorBidi"/>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14"/>
    <w:pPr>
      <w:tabs>
        <w:tab w:val="center" w:pos="4320"/>
        <w:tab w:val="right" w:pos="8640"/>
      </w:tabs>
      <w:spacing w:before="0" w:after="0"/>
    </w:pPr>
  </w:style>
  <w:style w:type="character" w:customStyle="1" w:styleId="HeaderChar">
    <w:name w:val="Header Char"/>
    <w:basedOn w:val="DefaultParagraphFont"/>
    <w:link w:val="Header"/>
    <w:uiPriority w:val="99"/>
    <w:rsid w:val="00FC4714"/>
    <w:rPr>
      <w:lang w:val="en-GB"/>
    </w:rPr>
  </w:style>
  <w:style w:type="paragraph" w:styleId="Footer">
    <w:name w:val="footer"/>
    <w:basedOn w:val="Normal"/>
    <w:link w:val="FooterChar"/>
    <w:uiPriority w:val="99"/>
    <w:unhideWhenUsed/>
    <w:rsid w:val="00FC4714"/>
    <w:pPr>
      <w:tabs>
        <w:tab w:val="center" w:pos="4320"/>
        <w:tab w:val="right" w:pos="8640"/>
      </w:tabs>
      <w:spacing w:before="0" w:after="0"/>
    </w:pPr>
  </w:style>
  <w:style w:type="character" w:customStyle="1" w:styleId="FooterChar">
    <w:name w:val="Footer Char"/>
    <w:basedOn w:val="DefaultParagraphFont"/>
    <w:link w:val="Footer"/>
    <w:uiPriority w:val="99"/>
    <w:rsid w:val="00FC4714"/>
    <w:rPr>
      <w:lang w:val="en-GB"/>
    </w:rPr>
  </w:style>
  <w:style w:type="paragraph" w:styleId="BalloonText">
    <w:name w:val="Balloon Text"/>
    <w:basedOn w:val="Normal"/>
    <w:link w:val="BalloonTextChar"/>
    <w:uiPriority w:val="99"/>
    <w:semiHidden/>
    <w:unhideWhenUsed/>
    <w:rsid w:val="00FC4714"/>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4714"/>
    <w:rPr>
      <w:rFonts w:ascii="Lucida Grande" w:hAnsi="Lucida Grande"/>
      <w:sz w:val="18"/>
      <w:szCs w:val="18"/>
      <w:lang w:val="en-GB"/>
    </w:rPr>
  </w:style>
  <w:style w:type="character" w:styleId="PageNumber">
    <w:name w:val="page number"/>
    <w:basedOn w:val="DefaultParagraphFont"/>
    <w:uiPriority w:val="99"/>
    <w:semiHidden/>
    <w:unhideWhenUsed/>
    <w:rsid w:val="00FC4714"/>
  </w:style>
  <w:style w:type="character" w:customStyle="1" w:styleId="Heading1Char">
    <w:name w:val="Heading 1 Char"/>
    <w:basedOn w:val="DefaultParagraphFont"/>
    <w:link w:val="Heading1"/>
    <w:uiPriority w:val="9"/>
    <w:rsid w:val="00436F49"/>
    <w:rPr>
      <w:rFonts w:ascii="Arial" w:eastAsiaTheme="majorEastAsia" w:hAnsi="Arial" w:cstheme="majorBidi"/>
      <w:bCs/>
      <w:color w:val="345A8A" w:themeColor="accent1" w:themeShade="B5"/>
      <w:sz w:val="32"/>
      <w:szCs w:val="32"/>
      <w:lang w:val="en-GB"/>
    </w:rPr>
  </w:style>
  <w:style w:type="paragraph" w:styleId="Title">
    <w:name w:val="Title"/>
    <w:basedOn w:val="Normal"/>
    <w:next w:val="Normal"/>
    <w:link w:val="TitleChar"/>
    <w:uiPriority w:val="10"/>
    <w:qFormat/>
    <w:rsid w:val="0099073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073D"/>
    <w:rPr>
      <w:rFonts w:asciiTheme="majorHAnsi" w:eastAsiaTheme="majorEastAsia" w:hAnsiTheme="majorHAnsi" w:cstheme="majorBidi"/>
      <w:color w:val="17365D" w:themeColor="text2" w:themeShade="BF"/>
      <w:spacing w:val="5"/>
      <w:kern w:val="28"/>
      <w:sz w:val="52"/>
      <w:szCs w:val="52"/>
      <w:lang w:val="en-GB"/>
    </w:rPr>
  </w:style>
  <w:style w:type="table" w:styleId="TableGrid">
    <w:name w:val="Table Grid"/>
    <w:basedOn w:val="TableNormal"/>
    <w:uiPriority w:val="59"/>
    <w:rsid w:val="008E2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C0085"/>
    <w:pPr>
      <w:widowControl w:val="0"/>
      <w:autoSpaceDE w:val="0"/>
      <w:autoSpaceDN w:val="0"/>
      <w:adjustRightInd w:val="0"/>
      <w:spacing w:before="0" w:after="0"/>
      <w:ind w:left="832" w:hanging="360"/>
    </w:pPr>
    <w:rPr>
      <w:rFonts w:eastAsiaTheme="minorEastAsia" w:cs="Arial"/>
      <w:szCs w:val="24"/>
      <w:lang w:val="en-US"/>
    </w:rPr>
  </w:style>
  <w:style w:type="character" w:customStyle="1" w:styleId="BodyTextChar">
    <w:name w:val="Body Text Char"/>
    <w:basedOn w:val="DefaultParagraphFont"/>
    <w:link w:val="BodyText"/>
    <w:uiPriority w:val="1"/>
    <w:rsid w:val="006C0085"/>
    <w:rPr>
      <w:rFonts w:ascii="Arial" w:hAnsi="Arial"/>
    </w:rPr>
  </w:style>
  <w:style w:type="paragraph" w:styleId="ListParagraph">
    <w:name w:val="List Paragraph"/>
    <w:basedOn w:val="Normal"/>
    <w:uiPriority w:val="1"/>
    <w:qFormat/>
    <w:rsid w:val="00FD2FCB"/>
    <w:pPr>
      <w:widowControl w:val="0"/>
      <w:autoSpaceDE w:val="0"/>
      <w:autoSpaceDN w:val="0"/>
      <w:adjustRightInd w:val="0"/>
      <w:spacing w:before="0" w:after="0"/>
    </w:pPr>
    <w:rPr>
      <w:rFonts w:ascii="Helvetica" w:eastAsiaTheme="minorEastAsia" w:hAnsi="Helvetica"/>
      <w:szCs w:val="24"/>
      <w:lang w:val="en-US"/>
    </w:rPr>
  </w:style>
  <w:style w:type="character" w:styleId="Hyperlink">
    <w:name w:val="Hyperlink"/>
    <w:basedOn w:val="DefaultParagraphFont"/>
    <w:uiPriority w:val="99"/>
    <w:unhideWhenUsed/>
    <w:rsid w:val="00E935C2"/>
    <w:rPr>
      <w:color w:val="0000FF" w:themeColor="hyperlink"/>
      <w:u w:val="single"/>
    </w:rPr>
  </w:style>
  <w:style w:type="table" w:customStyle="1" w:styleId="TableGrid1">
    <w:name w:val="Table Grid1"/>
    <w:basedOn w:val="TableNormal"/>
    <w:next w:val="TableGrid"/>
    <w:uiPriority w:val="39"/>
    <w:rsid w:val="00656AD9"/>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blowing-the-whistle-list-of-prescribed-people-and-bodies--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aw.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32D45.CAD66D4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16BF1-48E0-4DF6-A5CD-C5A85839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Ashton MEC Ltd</Company>
  <LinksUpToDate>false</LinksUpToDate>
  <CharactersWithSpaces>21707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Ashton</dc:creator>
  <cp:lastModifiedBy>Headteacher</cp:lastModifiedBy>
  <cp:revision>4</cp:revision>
  <cp:lastPrinted>2017-07-20T01:17:00Z</cp:lastPrinted>
  <dcterms:created xsi:type="dcterms:W3CDTF">2017-09-14T18:00:00Z</dcterms:created>
  <dcterms:modified xsi:type="dcterms:W3CDTF">2017-09-15T08:36:00Z</dcterms:modified>
</cp:coreProperties>
</file>